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B9" w:rsidRDefault="00EB21B9" w:rsidP="00EB21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21B9" w:rsidRDefault="00EB21B9" w:rsidP="00EB21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686.1000  Program Overview</w:t>
      </w:r>
      <w:r>
        <w:t xml:space="preserve"> </w:t>
      </w:r>
    </w:p>
    <w:p w:rsidR="00EB21B9" w:rsidRDefault="00EB21B9" w:rsidP="00EB21B9">
      <w:pPr>
        <w:widowControl w:val="0"/>
        <w:autoSpaceDE w:val="0"/>
        <w:autoSpaceDN w:val="0"/>
        <w:adjustRightInd w:val="0"/>
      </w:pPr>
    </w:p>
    <w:p w:rsidR="00EB21B9" w:rsidRDefault="00EB21B9" w:rsidP="00EB21B9">
      <w:pPr>
        <w:widowControl w:val="0"/>
        <w:autoSpaceDE w:val="0"/>
        <w:autoSpaceDN w:val="0"/>
        <w:adjustRightInd w:val="0"/>
      </w:pPr>
      <w:r>
        <w:t xml:space="preserve">The Department of Human Services (DHS) shall enter into agreements with community-based organizations to provide case management to persons diagnosed with brain injuries who are eligible for services provided by the Medicaid Waiver for Persons with a Brain Injury.  For geographic areas in Illinois in which case management agencies are not located, case management shall be provided by DHS Home Services counselors. </w:t>
      </w:r>
    </w:p>
    <w:p w:rsidR="00EB21B9" w:rsidRDefault="00EB21B9" w:rsidP="00EB21B9">
      <w:pPr>
        <w:widowControl w:val="0"/>
        <w:autoSpaceDE w:val="0"/>
        <w:autoSpaceDN w:val="0"/>
        <w:adjustRightInd w:val="0"/>
      </w:pPr>
    </w:p>
    <w:p w:rsidR="00EB21B9" w:rsidRDefault="00EB21B9" w:rsidP="00EB21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6457, effective May 17, 1999) </w:t>
      </w:r>
    </w:p>
    <w:sectPr w:rsidR="00EB21B9" w:rsidSect="00EB21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1B9"/>
    <w:rsid w:val="003B1112"/>
    <w:rsid w:val="005C3366"/>
    <w:rsid w:val="00771DF1"/>
    <w:rsid w:val="008F1741"/>
    <w:rsid w:val="00E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