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34" w:rsidRDefault="00EE3234" w:rsidP="00EE3234">
      <w:pPr>
        <w:rPr>
          <w:color w:val="000000"/>
          <w:szCs w:val="23"/>
        </w:rPr>
      </w:pPr>
      <w:bookmarkStart w:id="0" w:name="_GoBack"/>
      <w:bookmarkEnd w:id="0"/>
    </w:p>
    <w:p w:rsidR="00EE3234" w:rsidRDefault="00EE3234" w:rsidP="00EE3234">
      <w:pPr>
        <w:rPr>
          <w:b/>
          <w:bCs/>
          <w:color w:val="000000"/>
          <w:szCs w:val="23"/>
        </w:rPr>
      </w:pPr>
      <w:r>
        <w:rPr>
          <w:b/>
          <w:bCs/>
          <w:color w:val="000000"/>
          <w:szCs w:val="23"/>
        </w:rPr>
        <w:t>Section 590.860  Off-Site Services and Monitoring</w:t>
      </w:r>
    </w:p>
    <w:p w:rsidR="00EE3234" w:rsidRDefault="00EE3234" w:rsidP="00EE3234">
      <w:pPr>
        <w:rPr>
          <w:b/>
          <w:bCs/>
          <w:color w:val="000000"/>
          <w:szCs w:val="23"/>
        </w:rPr>
      </w:pPr>
    </w:p>
    <w:p w:rsidR="00EE3234" w:rsidRDefault="00EE3234" w:rsidP="00EE3234">
      <w:pPr>
        <w:rPr>
          <w:color w:val="000000"/>
          <w:szCs w:val="23"/>
        </w:rPr>
      </w:pPr>
      <w:r>
        <w:rPr>
          <w:color w:val="000000"/>
          <w:szCs w:val="23"/>
        </w:rPr>
        <w:t xml:space="preserve">Customers may request that supported employment services be provided away from the work site, with the approval of the rehabilitation counselor.  Off-site services shall be specified in the IPE.  Off-site monitoring shall include twice-monthly contacts with the customer, as well as monthly contact with the employer, if the customer approves </w:t>
      </w:r>
      <w:r w:rsidR="00A53283">
        <w:rPr>
          <w:color w:val="000000"/>
          <w:szCs w:val="23"/>
        </w:rPr>
        <w:t>that</w:t>
      </w:r>
      <w:r>
        <w:rPr>
          <w:color w:val="000000"/>
          <w:szCs w:val="23"/>
        </w:rPr>
        <w:t xml:space="preserve"> contact. </w:t>
      </w:r>
    </w:p>
    <w:p w:rsidR="00EE3234" w:rsidRDefault="00EE3234" w:rsidP="00EE3234">
      <w:pPr>
        <w:rPr>
          <w:color w:val="000000"/>
          <w:szCs w:val="23"/>
        </w:rPr>
      </w:pPr>
    </w:p>
    <w:p w:rsidR="00EE3234" w:rsidRPr="00D55B37" w:rsidRDefault="00EE3234">
      <w:pPr>
        <w:pStyle w:val="JCARSourceNote"/>
        <w:ind w:left="720"/>
      </w:pPr>
      <w:r w:rsidRPr="00D55B37">
        <w:t xml:space="preserve">(Source:  Added at </w:t>
      </w:r>
      <w:r>
        <w:t>3</w:t>
      </w:r>
      <w:r w:rsidR="00D0394B">
        <w:t>6</w:t>
      </w:r>
      <w:r w:rsidRPr="00D55B37">
        <w:t xml:space="preserve"> Ill. Reg. </w:t>
      </w:r>
      <w:r w:rsidR="00DF4247">
        <w:t>65</w:t>
      </w:r>
      <w:r w:rsidR="0042554E">
        <w:t>98</w:t>
      </w:r>
      <w:r w:rsidRPr="00D55B37">
        <w:t xml:space="preserve">, effective </w:t>
      </w:r>
      <w:r w:rsidR="0042554E">
        <w:t>April 13, 2012</w:t>
      </w:r>
      <w:r w:rsidRPr="00D55B37">
        <w:t>)</w:t>
      </w:r>
    </w:p>
    <w:sectPr w:rsidR="00EE323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6E" w:rsidRDefault="00D0406E">
      <w:r>
        <w:separator/>
      </w:r>
    </w:p>
  </w:endnote>
  <w:endnote w:type="continuationSeparator" w:id="0">
    <w:p w:rsidR="00D0406E" w:rsidRDefault="00D0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6E" w:rsidRDefault="00D0406E">
      <w:r>
        <w:separator/>
      </w:r>
    </w:p>
  </w:footnote>
  <w:footnote w:type="continuationSeparator" w:id="0">
    <w:p w:rsidR="00D0406E" w:rsidRDefault="00D04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53F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24D3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2F7"/>
    <w:rsid w:val="00420E63"/>
    <w:rsid w:val="004218A0"/>
    <w:rsid w:val="0042554E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55815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B6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3215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7D2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3283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3FF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94B"/>
    <w:rsid w:val="00D03A79"/>
    <w:rsid w:val="00D0406E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424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341C"/>
    <w:rsid w:val="00EB424E"/>
    <w:rsid w:val="00EC3846"/>
    <w:rsid w:val="00EC6C31"/>
    <w:rsid w:val="00ED0167"/>
    <w:rsid w:val="00ED1405"/>
    <w:rsid w:val="00ED1EED"/>
    <w:rsid w:val="00EE2300"/>
    <w:rsid w:val="00EE3234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323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323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