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63" w:rsidRDefault="001811C8" w:rsidP="00D94D6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94D63">
        <w:rPr>
          <w:b/>
          <w:bCs/>
        </w:rPr>
        <w:lastRenderedPageBreak/>
        <w:t xml:space="preserve">Section 500.APPENDIX E  </w:t>
      </w:r>
      <w:r w:rsidR="00475C4B">
        <w:rPr>
          <w:b/>
          <w:bCs/>
        </w:rPr>
        <w:t xml:space="preserve"> </w:t>
      </w:r>
      <w:r w:rsidR="00D94D63">
        <w:rPr>
          <w:b/>
          <w:bCs/>
        </w:rPr>
        <w:t>Medical Conditions Resulting in High Probability of Developmental Delay (not an exclusive list)</w:t>
      </w:r>
      <w:r w:rsidR="00D94D63">
        <w:t xml:space="preserve"> </w:t>
      </w:r>
    </w:p>
    <w:p w:rsidR="00D94D63" w:rsidRDefault="00D94D63" w:rsidP="00D94D6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Anomalies of Central Nervous System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Spina Bifida/Mylomeningolecele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Spina Bifida with Hydrocephaly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Anomalies of the Spinal Cord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Encephalocele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Hydroencephalapathy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Microencephaly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Congenital Hydrocephalus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>Reduction Deformities of Brain</w:t>
      </w:r>
      <w:r w:rsidR="003362DC">
        <w:t>, including but not limited to:</w:t>
      </w:r>
      <w:r>
        <w:t xml:space="preserve">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241E06" w:rsidRDefault="00241E06" w:rsidP="003362DC">
      <w:pPr>
        <w:widowControl w:val="0"/>
        <w:tabs>
          <w:tab w:val="left" w:pos="4812"/>
        </w:tabs>
        <w:autoSpaceDE w:val="0"/>
        <w:autoSpaceDN w:val="0"/>
        <w:adjustRightInd w:val="0"/>
        <w:ind w:left="1980"/>
      </w:pPr>
      <w:r>
        <w:t>Absence</w:t>
      </w:r>
    </w:p>
    <w:p w:rsidR="00241E06" w:rsidRDefault="00241E06" w:rsidP="003362DC">
      <w:pPr>
        <w:widowControl w:val="0"/>
        <w:tabs>
          <w:tab w:val="left" w:pos="4812"/>
        </w:tabs>
        <w:autoSpaceDE w:val="0"/>
        <w:autoSpaceDN w:val="0"/>
        <w:adjustRightInd w:val="0"/>
        <w:ind w:left="1980"/>
      </w:pPr>
      <w:r>
        <w:t>Agenesis</w:t>
      </w:r>
    </w:p>
    <w:p w:rsidR="00241E06" w:rsidRDefault="00241E06" w:rsidP="003362DC">
      <w:pPr>
        <w:widowControl w:val="0"/>
        <w:tabs>
          <w:tab w:val="left" w:pos="4812"/>
        </w:tabs>
        <w:autoSpaceDE w:val="0"/>
        <w:autoSpaceDN w:val="0"/>
        <w:adjustRightInd w:val="0"/>
        <w:ind w:left="1980"/>
      </w:pPr>
      <w:r>
        <w:t>Agyria</w:t>
      </w:r>
    </w:p>
    <w:p w:rsidR="00241E06" w:rsidRDefault="00241E06" w:rsidP="003362DC">
      <w:pPr>
        <w:widowControl w:val="0"/>
        <w:tabs>
          <w:tab w:val="left" w:pos="4812"/>
        </w:tabs>
        <w:autoSpaceDE w:val="0"/>
        <w:autoSpaceDN w:val="0"/>
        <w:adjustRightInd w:val="0"/>
        <w:ind w:left="1980"/>
      </w:pPr>
      <w:r>
        <w:t>Aplasia</w:t>
      </w:r>
    </w:p>
    <w:p w:rsidR="00241E06" w:rsidRDefault="00241E06" w:rsidP="003362DC">
      <w:pPr>
        <w:widowControl w:val="0"/>
        <w:tabs>
          <w:tab w:val="left" w:pos="4812"/>
        </w:tabs>
        <w:autoSpaceDE w:val="0"/>
        <w:autoSpaceDN w:val="0"/>
        <w:adjustRightInd w:val="0"/>
        <w:ind w:left="1980"/>
      </w:pPr>
      <w:r>
        <w:t>Arhinecephaly</w:t>
      </w:r>
    </w:p>
    <w:p w:rsidR="00D94D63" w:rsidRDefault="00241E06" w:rsidP="003362DC">
      <w:pPr>
        <w:widowControl w:val="0"/>
        <w:autoSpaceDE w:val="0"/>
        <w:autoSpaceDN w:val="0"/>
        <w:adjustRightInd w:val="0"/>
        <w:ind w:left="1980"/>
      </w:pPr>
      <w:r>
        <w:t>Holoprosencephaly</w:t>
      </w:r>
    </w:p>
    <w:p w:rsidR="00241E06" w:rsidRDefault="00241E06" w:rsidP="003362DC">
      <w:pPr>
        <w:widowControl w:val="0"/>
        <w:autoSpaceDE w:val="0"/>
        <w:autoSpaceDN w:val="0"/>
        <w:adjustRightInd w:val="0"/>
        <w:ind w:left="1980"/>
      </w:pPr>
      <w:r>
        <w:t>Hypoplasia</w:t>
      </w:r>
    </w:p>
    <w:p w:rsidR="00241E06" w:rsidRDefault="00241E06" w:rsidP="003362DC">
      <w:pPr>
        <w:widowControl w:val="0"/>
        <w:autoSpaceDE w:val="0"/>
        <w:autoSpaceDN w:val="0"/>
        <w:adjustRightInd w:val="0"/>
        <w:ind w:left="1980"/>
      </w:pPr>
      <w:r>
        <w:t>Lissencephaly</w:t>
      </w:r>
    </w:p>
    <w:p w:rsidR="00241E06" w:rsidRDefault="00241E06" w:rsidP="003362DC">
      <w:pPr>
        <w:widowControl w:val="0"/>
        <w:autoSpaceDE w:val="0"/>
        <w:autoSpaceDN w:val="0"/>
        <w:adjustRightInd w:val="0"/>
        <w:ind w:left="1980"/>
      </w:pPr>
      <w:r>
        <w:t>Microgyria</w:t>
      </w:r>
    </w:p>
    <w:p w:rsidR="00241E06" w:rsidRDefault="00241E06" w:rsidP="003362DC">
      <w:pPr>
        <w:widowControl w:val="0"/>
        <w:autoSpaceDE w:val="0"/>
        <w:autoSpaceDN w:val="0"/>
        <w:adjustRightInd w:val="0"/>
        <w:ind w:left="1980"/>
      </w:pPr>
      <w:r>
        <w:t>Schizencephaly</w:t>
      </w:r>
    </w:p>
    <w:p w:rsidR="00241E06" w:rsidRDefault="00241E06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>Birth wei</w:t>
      </w:r>
      <w:r w:rsidR="004A0176">
        <w:t>ght:  &lt;</w:t>
      </w:r>
      <w:r>
        <w:t xml:space="preserve">1000 gm.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Chromosomal Disorders (most common, not to be used as an exclusive list)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Trisomy 21 (Down's Syndrome)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Trisomy 13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Trisomy 18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Autosomal Deletion Syndromes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Fragile X Syndrome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Williams Syndrome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Angelmann's Syndrome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Prader-Willi Syndrome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Congenital Infections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Toxoplasmosis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Rubella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Sytomegalovirus </w:t>
      </w: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Herpes Simplex with CNS involvement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Neonatal Meningitis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Cerebral Palsy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Craniofacial Anomalies (Major)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241E06">
      <w:pPr>
        <w:widowControl w:val="0"/>
        <w:autoSpaceDE w:val="0"/>
        <w:autoSpaceDN w:val="0"/>
        <w:adjustRightInd w:val="0"/>
        <w:ind w:left="1440"/>
      </w:pPr>
      <w:r>
        <w:t xml:space="preserve">Cleft Palate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Disorders of the Sense Organs </w:t>
      </w:r>
    </w:p>
    <w:p w:rsidR="00130173" w:rsidRDefault="00130173" w:rsidP="002861E3">
      <w:pPr>
        <w:widowControl w:val="0"/>
        <w:autoSpaceDE w:val="0"/>
        <w:autoSpaceDN w:val="0"/>
        <w:adjustRightInd w:val="0"/>
      </w:pPr>
    </w:p>
    <w:p w:rsidR="00051D38" w:rsidRDefault="00051D38" w:rsidP="003362DC">
      <w:pPr>
        <w:widowControl w:val="0"/>
        <w:autoSpaceDE w:val="0"/>
        <w:autoSpaceDN w:val="0"/>
        <w:adjustRightInd w:val="0"/>
        <w:ind w:left="1710" w:hanging="270"/>
      </w:pPr>
      <w:r>
        <w:t xml:space="preserve">Hearing loss </w:t>
      </w:r>
      <w:r w:rsidR="00241E06">
        <w:t xml:space="preserve">of </w:t>
      </w:r>
      <w:r>
        <w:t>30 decibels (dB) or greater at any two of the following frequencies: 500, 1000, 2000, 4000</w:t>
      </w:r>
      <w:r w:rsidR="004A124A">
        <w:t>,</w:t>
      </w:r>
      <w:r>
        <w:t xml:space="preserve"> and 8000 Hertz (Hz)</w:t>
      </w:r>
      <w:r w:rsidR="003362DC">
        <w:t xml:space="preserve"> involving one or both ears</w:t>
      </w:r>
      <w:r>
        <w:t>, or hearing loss of 35 dB or greater at any one of the following frequencies:  500, 1000</w:t>
      </w:r>
      <w:r w:rsidR="004A124A">
        <w:t>,</w:t>
      </w:r>
      <w:r>
        <w:t xml:space="preserve"> and 2000 H</w:t>
      </w:r>
      <w:r w:rsidR="00241E06">
        <w:t>z</w:t>
      </w:r>
      <w:r>
        <w:t xml:space="preserve"> involving one or both ears.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Visual Impairment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Bilateral Amblyopia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>Severe Retinopathy of Prematurity ROP 3+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Bilateral Cataracts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Myopia of 3 Dioptors or More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Albinism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Disorders of the Central Nervous System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Hypsarrhythmia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Acquired Hydrocephalus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Stroke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Traumatic Brain Injury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Intraventricular Hemorrhage </w:t>
      </w:r>
      <w:r w:rsidR="004A0176">
        <w:t xml:space="preserve">– </w:t>
      </w:r>
      <w:r>
        <w:t xml:space="preserve">Grade III, IV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602" w:hanging="162"/>
      </w:pPr>
      <w:r>
        <w:t xml:space="preserve">Hypoxic Ischemic Encephalopathy (with organ failure, seizures, renal failure, cardiac failure)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Unspecified Encephalopathy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Spinal Cord Injury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Neonatal Seizures (secondary to asphyxia or hypoglycemia)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Central Nervous System Cysts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Central Nervous System Tumors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Periventricular Leukomalacia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10.</w:t>
      </w:r>
      <w:r>
        <w:tab/>
        <w:t xml:space="preserve">Inborn Errors of Metabolism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11.</w:t>
      </w:r>
      <w:r>
        <w:tab/>
        <w:t xml:space="preserve">Neuromuscular Disorders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Congenital Muscular Dystrophy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Myotonic Dystrophy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Werdnig-Hoffman (Spinal Muscular Atrophy)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Congenital Myopathy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Duchenne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12.</w:t>
      </w:r>
      <w:r>
        <w:tab/>
        <w:t>Pervasive Developmental Disorder</w:t>
      </w:r>
      <w:r w:rsidR="004A0176">
        <w:t>/</w:t>
      </w:r>
      <w:r>
        <w:t xml:space="preserve">Autistic Spectrum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13.</w:t>
      </w:r>
      <w:r>
        <w:tab/>
        <w:t>Syndromes (</w:t>
      </w:r>
      <w:r w:rsidR="003362DC">
        <w:t>*</w:t>
      </w:r>
      <w:r>
        <w:t xml:space="preserve">see further instructions for </w:t>
      </w:r>
      <w:r w:rsidR="003362DC">
        <w:t>Division of Specialized Care for Children (</w:t>
      </w:r>
      <w:r>
        <w:t>DSCC</w:t>
      </w:r>
      <w:r w:rsidR="003362DC">
        <w:t>)</w:t>
      </w:r>
      <w:r>
        <w:t xml:space="preserve"> referral)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Cornelia de Lange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Lowe's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Rett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Rubenstein-Taybi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CHARGE (multiple anomalies)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VATER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14.</w:t>
      </w:r>
      <w:r>
        <w:tab/>
        <w:t xml:space="preserve">Fetal Alcohol Syndrome </w:t>
      </w:r>
    </w:p>
    <w:p w:rsidR="00130173" w:rsidRDefault="00130173" w:rsidP="002861E3"/>
    <w:p w:rsidR="00D94D63" w:rsidRPr="004F1BC1" w:rsidRDefault="00D94D63" w:rsidP="004F1BC1">
      <w:pPr>
        <w:ind w:left="1440"/>
      </w:pPr>
      <w:r w:rsidRPr="004F1BC1">
        <w:t xml:space="preserve">Not just exposure to alcohol in utero or fetal alcohol </w:t>
      </w:r>
      <w:r w:rsidR="004F1BC1" w:rsidRPr="004F1BC1">
        <w:t xml:space="preserve">effects, but a diagnosis of the </w:t>
      </w:r>
      <w:r w:rsidRPr="004F1BC1">
        <w:t xml:space="preserve">syndrome </w:t>
      </w:r>
    </w:p>
    <w:p w:rsidR="00D94D63" w:rsidRPr="004F1BC1" w:rsidRDefault="00D94D63" w:rsidP="004F1BC1"/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15.</w:t>
      </w:r>
      <w:r>
        <w:tab/>
        <w:t xml:space="preserve">Orthopedic Abnormalities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Brachioplexus at Birth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Caudal Regression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Proximal Focal Femoral Deformities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Partial Amputations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Holt-Oram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Acquired Amputations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 xml:space="preserve">Arthrogryposis Multiplex Congenita </w:t>
      </w:r>
    </w:p>
    <w:p w:rsidR="00D94D63" w:rsidRDefault="00D94D63" w:rsidP="003362DC">
      <w:pPr>
        <w:widowControl w:val="0"/>
        <w:autoSpaceDE w:val="0"/>
        <w:autoSpaceDN w:val="0"/>
        <w:adjustRightInd w:val="0"/>
        <w:ind w:left="1440"/>
      </w:pPr>
      <w:r>
        <w:t>Osteogenesis Imperfecta (</w:t>
      </w:r>
      <w:r w:rsidR="004A124A">
        <w:t>*</w:t>
      </w:r>
      <w:r>
        <w:t xml:space="preserve">see further instruction for DSCC referral)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D94D63">
      <w:pPr>
        <w:widowControl w:val="0"/>
        <w:autoSpaceDE w:val="0"/>
        <w:autoSpaceDN w:val="0"/>
        <w:adjustRightInd w:val="0"/>
        <w:ind w:left="1440" w:hanging="720"/>
      </w:pPr>
      <w:r>
        <w:t>16.</w:t>
      </w:r>
      <w:r>
        <w:tab/>
        <w:t xml:space="preserve">Technology Dependent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D94D63" w:rsidRDefault="00D94D63" w:rsidP="004A0176">
      <w:pPr>
        <w:widowControl w:val="0"/>
        <w:autoSpaceDE w:val="0"/>
        <w:autoSpaceDN w:val="0"/>
        <w:adjustRightInd w:val="0"/>
        <w:ind w:left="1440"/>
      </w:pPr>
      <w:r>
        <w:t xml:space="preserve">Tracheostomy </w:t>
      </w:r>
    </w:p>
    <w:p w:rsidR="00D94D63" w:rsidRDefault="00D94D63" w:rsidP="004A0176">
      <w:pPr>
        <w:widowControl w:val="0"/>
        <w:autoSpaceDE w:val="0"/>
        <w:autoSpaceDN w:val="0"/>
        <w:adjustRightInd w:val="0"/>
        <w:ind w:left="1440"/>
      </w:pPr>
      <w:r>
        <w:t>Ventilator Dependent (</w:t>
      </w:r>
      <w:r w:rsidR="003362DC">
        <w:t>*</w:t>
      </w:r>
      <w:r>
        <w:t xml:space="preserve">see further instruction for DSCC referral) </w:t>
      </w:r>
    </w:p>
    <w:p w:rsidR="00D94D63" w:rsidRDefault="00D94D63" w:rsidP="002861E3">
      <w:pPr>
        <w:widowControl w:val="0"/>
        <w:autoSpaceDE w:val="0"/>
        <w:autoSpaceDN w:val="0"/>
        <w:adjustRightInd w:val="0"/>
      </w:pPr>
    </w:p>
    <w:p w:rsidR="00051D38" w:rsidRDefault="00051D38" w:rsidP="00D94D63">
      <w:pPr>
        <w:widowControl w:val="0"/>
        <w:autoSpaceDE w:val="0"/>
        <w:autoSpaceDN w:val="0"/>
        <w:adjustRightInd w:val="0"/>
        <w:ind w:left="1440" w:hanging="720"/>
      </w:pPr>
      <w:r>
        <w:t>17.</w:t>
      </w:r>
      <w:r>
        <w:tab/>
        <w:t>Social Emotional Disorders</w:t>
      </w:r>
    </w:p>
    <w:p w:rsidR="00051D38" w:rsidRDefault="00051D38" w:rsidP="002861E3">
      <w:pPr>
        <w:widowControl w:val="0"/>
        <w:autoSpaceDE w:val="0"/>
        <w:autoSpaceDN w:val="0"/>
        <w:adjustRightInd w:val="0"/>
      </w:pPr>
    </w:p>
    <w:p w:rsidR="00051D38" w:rsidRDefault="00051D38" w:rsidP="003362DC">
      <w:pPr>
        <w:widowControl w:val="0"/>
        <w:autoSpaceDE w:val="0"/>
        <w:autoSpaceDN w:val="0"/>
        <w:adjustRightInd w:val="0"/>
        <w:ind w:left="1440"/>
      </w:pPr>
      <w:r>
        <w:t>Attachment or Relationship Disorder</w:t>
      </w:r>
    </w:p>
    <w:p w:rsidR="003362DC" w:rsidRDefault="003362DC" w:rsidP="002861E3">
      <w:pPr>
        <w:widowControl w:val="0"/>
        <w:autoSpaceDE w:val="0"/>
        <w:autoSpaceDN w:val="0"/>
        <w:adjustRightInd w:val="0"/>
      </w:pPr>
    </w:p>
    <w:p w:rsidR="003362DC" w:rsidRDefault="003362DC" w:rsidP="00BB2826">
      <w:pPr>
        <w:widowControl w:val="0"/>
        <w:autoSpaceDE w:val="0"/>
        <w:autoSpaceDN w:val="0"/>
        <w:adjustRightInd w:val="0"/>
        <w:ind w:left="1440" w:hanging="720"/>
      </w:pPr>
      <w:r>
        <w:t>18.</w:t>
      </w:r>
      <w:r>
        <w:tab/>
        <w:t>Lead Poisoning (as defined in 77 Ill. Adm. Code 845.20)</w:t>
      </w:r>
      <w:r w:rsidR="00BB2826">
        <w:t xml:space="preserve"> confirmed by a venous blood test</w:t>
      </w:r>
    </w:p>
    <w:p w:rsidR="00051D38" w:rsidRDefault="00051D38" w:rsidP="002861E3">
      <w:pPr>
        <w:widowControl w:val="0"/>
        <w:autoSpaceDE w:val="0"/>
        <w:autoSpaceDN w:val="0"/>
        <w:adjustRightInd w:val="0"/>
      </w:pPr>
    </w:p>
    <w:p w:rsidR="00D94D63" w:rsidRDefault="00D94D63" w:rsidP="00475C4B">
      <w:pPr>
        <w:widowControl w:val="0"/>
        <w:autoSpaceDE w:val="0"/>
        <w:autoSpaceDN w:val="0"/>
        <w:adjustRightInd w:val="0"/>
        <w:ind w:left="720"/>
      </w:pPr>
      <w:r>
        <w:t>Children with medical conditions that are not listed may be determined eligible for services by a qualified family physician, pediatrician</w:t>
      </w:r>
      <w:r w:rsidR="00243100">
        <w:t>,</w:t>
      </w:r>
      <w:r>
        <w:t xml:space="preserve"> or pediatric subspecialist (pediatric neurologist, geneticist, pediatric orthopedic surgeon, pediatrician with special interest in disabilities) who provides written verification that the child's medical condition is associated with a high probability of developmental delay as listed in eligibility criteria. </w:t>
      </w:r>
    </w:p>
    <w:p w:rsidR="00D94D63" w:rsidRDefault="00D94D63" w:rsidP="00D94D63">
      <w:pPr>
        <w:widowControl w:val="0"/>
        <w:autoSpaceDE w:val="0"/>
        <w:autoSpaceDN w:val="0"/>
        <w:adjustRightInd w:val="0"/>
        <w:ind w:left="720" w:hanging="720"/>
      </w:pPr>
    </w:p>
    <w:p w:rsidR="00D94D63" w:rsidRDefault="00D94D63" w:rsidP="00475C4B">
      <w:pPr>
        <w:widowControl w:val="0"/>
        <w:autoSpaceDE w:val="0"/>
        <w:autoSpaceDN w:val="0"/>
        <w:adjustRightInd w:val="0"/>
        <w:ind w:left="720"/>
      </w:pPr>
      <w:r>
        <w:lastRenderedPageBreak/>
        <w:t xml:space="preserve">Children with undiagnosed medical conditions or who require further medical evaluation may be referred by Child and Family Connections (regional intake entity) for a medical diagnostic evaluation. </w:t>
      </w:r>
    </w:p>
    <w:p w:rsidR="00D94D63" w:rsidRDefault="00D94D63" w:rsidP="00D94D63">
      <w:pPr>
        <w:widowControl w:val="0"/>
        <w:autoSpaceDE w:val="0"/>
        <w:autoSpaceDN w:val="0"/>
        <w:adjustRightInd w:val="0"/>
        <w:ind w:left="720" w:hanging="720"/>
      </w:pPr>
    </w:p>
    <w:p w:rsidR="00D94D63" w:rsidRDefault="004A0176" w:rsidP="003362DC">
      <w:pPr>
        <w:widowControl w:val="0"/>
        <w:autoSpaceDE w:val="0"/>
        <w:autoSpaceDN w:val="0"/>
        <w:adjustRightInd w:val="0"/>
        <w:ind w:left="1098" w:hanging="378"/>
      </w:pPr>
      <w:r>
        <w:t>*</w:t>
      </w:r>
      <w:r w:rsidR="004F1BC1">
        <w:tab/>
      </w:r>
      <w:r w:rsidR="00D94D63">
        <w:t xml:space="preserve">Referring to DSCC </w:t>
      </w:r>
      <w:r>
        <w:t xml:space="preserve">– </w:t>
      </w:r>
      <w:r w:rsidR="00D94D63">
        <w:t>Children with Cleft Palate, Orthopedic Abnormalities, or other potential DSCC</w:t>
      </w:r>
      <w:r w:rsidR="003362DC">
        <w:t>-</w:t>
      </w:r>
      <w:r w:rsidR="00D94D63">
        <w:t xml:space="preserve">eligible diagnoses associated with physical disabilities should be referred to the </w:t>
      </w:r>
      <w:r w:rsidR="003362DC">
        <w:t>DSCC</w:t>
      </w:r>
      <w:r w:rsidR="00D94D63">
        <w:t xml:space="preserve">.  DSCC may provide medical diagnostic support at no cost to the family.  Simultaneously Child and Family Connections </w:t>
      </w:r>
      <w:r w:rsidR="003362DC">
        <w:t xml:space="preserve">offices </w:t>
      </w:r>
      <w:r w:rsidR="00D94D63">
        <w:t xml:space="preserve">should complete the intake process as usual.  DSCC will determine the type of ongoing assistance </w:t>
      </w:r>
      <w:r w:rsidR="003362DC">
        <w:t xml:space="preserve">that </w:t>
      </w:r>
      <w:r w:rsidR="00D94D63">
        <w:t xml:space="preserve">they can provide. </w:t>
      </w:r>
    </w:p>
    <w:p w:rsidR="00051D38" w:rsidRDefault="00051D38" w:rsidP="00286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D38" w:rsidRPr="00D55B37" w:rsidRDefault="003362DC">
      <w:pPr>
        <w:pStyle w:val="JCARSourceNote"/>
        <w:ind w:left="720"/>
      </w:pPr>
      <w:r>
        <w:t xml:space="preserve">(Source:  Amended at 44 Ill. Reg. </w:t>
      </w:r>
      <w:r w:rsidR="00145A31">
        <w:t>12739</w:t>
      </w:r>
      <w:r>
        <w:t xml:space="preserve">, effective </w:t>
      </w:r>
      <w:r w:rsidR="00145A31">
        <w:t>July 20, 2020</w:t>
      </w:r>
      <w:r>
        <w:t>)</w:t>
      </w:r>
    </w:p>
    <w:sectPr w:rsidR="00051D38" w:rsidRPr="00D55B37" w:rsidSect="00D94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D63"/>
    <w:rsid w:val="00051D38"/>
    <w:rsid w:val="00130173"/>
    <w:rsid w:val="00145A31"/>
    <w:rsid w:val="001811C8"/>
    <w:rsid w:val="001C13E4"/>
    <w:rsid w:val="00241E06"/>
    <w:rsid w:val="00243100"/>
    <w:rsid w:val="002861E3"/>
    <w:rsid w:val="003362DC"/>
    <w:rsid w:val="00475C4B"/>
    <w:rsid w:val="004A0176"/>
    <w:rsid w:val="004A124A"/>
    <w:rsid w:val="004F1BC1"/>
    <w:rsid w:val="005C3366"/>
    <w:rsid w:val="0087048C"/>
    <w:rsid w:val="008A019A"/>
    <w:rsid w:val="00997D26"/>
    <w:rsid w:val="00B32683"/>
    <w:rsid w:val="00BB2826"/>
    <w:rsid w:val="00D94D63"/>
    <w:rsid w:val="00DF1BB3"/>
    <w:rsid w:val="00E057EA"/>
    <w:rsid w:val="00F22C6E"/>
    <w:rsid w:val="00F5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A1423C-8E71-4387-8B25-729C862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5</cp:revision>
  <dcterms:created xsi:type="dcterms:W3CDTF">2020-06-29T21:20:00Z</dcterms:created>
  <dcterms:modified xsi:type="dcterms:W3CDTF">2020-07-27T16:28:00Z</dcterms:modified>
</cp:coreProperties>
</file>