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9F12" w14:textId="77777777" w:rsidR="00362DCD" w:rsidRDefault="00362DCD" w:rsidP="00362DCD">
      <w:pPr>
        <w:widowControl w:val="0"/>
        <w:autoSpaceDE w:val="0"/>
        <w:autoSpaceDN w:val="0"/>
        <w:adjustRightInd w:val="0"/>
      </w:pPr>
    </w:p>
    <w:p w14:paraId="5BB85898" w14:textId="77777777" w:rsidR="00362DCD" w:rsidRDefault="00362DCD" w:rsidP="00362D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500.170  State Complaint Procedure</w:t>
      </w:r>
      <w:r>
        <w:t xml:space="preserve"> </w:t>
      </w:r>
    </w:p>
    <w:p w14:paraId="4A2B9E27" w14:textId="77777777" w:rsidR="00362DCD" w:rsidRDefault="00362DCD" w:rsidP="00362DCD">
      <w:pPr>
        <w:widowControl w:val="0"/>
        <w:autoSpaceDE w:val="0"/>
        <w:autoSpaceDN w:val="0"/>
        <w:adjustRightInd w:val="0"/>
      </w:pPr>
    </w:p>
    <w:p w14:paraId="065F1D55" w14:textId="1DE15269" w:rsidR="00362DCD" w:rsidRDefault="00362DCD" w:rsidP="00362D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Individuals or organizations </w:t>
      </w:r>
      <w:r w:rsidR="0003691B">
        <w:t xml:space="preserve">(hereinafter referred to as </w:t>
      </w:r>
      <w:r w:rsidR="003726F4">
        <w:t>C</w:t>
      </w:r>
      <w:r w:rsidR="0003691B">
        <w:t xml:space="preserve">omplainant) </w:t>
      </w:r>
      <w:r>
        <w:t xml:space="preserve">may file </w:t>
      </w:r>
      <w:r w:rsidR="0003691B">
        <w:t xml:space="preserve">a </w:t>
      </w:r>
      <w:r>
        <w:t xml:space="preserve">written, signed </w:t>
      </w:r>
      <w:r w:rsidR="0003691B">
        <w:t>State Complaint</w:t>
      </w:r>
      <w:r>
        <w:t xml:space="preserve"> with </w:t>
      </w:r>
      <w:r w:rsidR="0003691B">
        <w:t>DHS</w:t>
      </w:r>
      <w:r>
        <w:t xml:space="preserve"> stating that </w:t>
      </w:r>
      <w:r w:rsidR="0003691B">
        <w:t>the Department,</w:t>
      </w:r>
      <w:r>
        <w:t xml:space="preserve"> regional intake entity</w:t>
      </w:r>
      <w:r w:rsidR="005734B8">
        <w:t>,</w:t>
      </w:r>
      <w:r>
        <w:t xml:space="preserve"> or </w:t>
      </w:r>
      <w:r w:rsidR="0003691B">
        <w:t>payee/provider (hereinafter referred to as Respondent)</w:t>
      </w:r>
      <w:r>
        <w:t xml:space="preserve"> is violating a law or rule regarding the Part C </w:t>
      </w:r>
      <w:r w:rsidR="0003691B">
        <w:t>EI</w:t>
      </w:r>
      <w:r>
        <w:t xml:space="preserve"> program.  The </w:t>
      </w:r>
      <w:r w:rsidR="0003691B">
        <w:t>form Request for Investigation of State Complaint shall be used and shall include:</w:t>
      </w:r>
      <w:r>
        <w:t xml:space="preserve"> </w:t>
      </w:r>
    </w:p>
    <w:p w14:paraId="09F4ED38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143D3EAF" w14:textId="77777777" w:rsidR="00362DCD" w:rsidRDefault="00362DCD" w:rsidP="00362D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3691B">
        <w:t>A statement that the Respondent has violated a requirement of Part C of the Act;</w:t>
      </w:r>
      <w:r>
        <w:t xml:space="preserve"> </w:t>
      </w:r>
    </w:p>
    <w:p w14:paraId="0C9A820A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1E7B7188" w14:textId="77777777" w:rsidR="00362DCD" w:rsidRDefault="00362DCD" w:rsidP="00362D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3691B">
        <w:t>A recital of facts on which the statement is based;</w:t>
      </w:r>
      <w:r>
        <w:t xml:space="preserve"> </w:t>
      </w:r>
    </w:p>
    <w:p w14:paraId="00BF3538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42694B68" w14:textId="77777777" w:rsidR="0003691B" w:rsidRDefault="0003691B" w:rsidP="000369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signature and contact information of the complainant;</w:t>
      </w:r>
    </w:p>
    <w:p w14:paraId="5C7EB91C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049054CC" w14:textId="77777777" w:rsidR="0003691B" w:rsidRDefault="0003691B" w:rsidP="0003691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violations pertain to a specific child; </w:t>
      </w:r>
    </w:p>
    <w:p w14:paraId="3011BF9F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33F1025E" w14:textId="77777777" w:rsidR="0003691B" w:rsidRDefault="0003691B" w:rsidP="0003691B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 xml:space="preserve">the name </w:t>
      </w:r>
      <w:r w:rsidR="006551A4">
        <w:t xml:space="preserve">of the child </w:t>
      </w:r>
      <w:r>
        <w:t xml:space="preserve">and </w:t>
      </w:r>
      <w:r w:rsidR="006551A4">
        <w:t xml:space="preserve">the </w:t>
      </w:r>
      <w:r>
        <w:t>address of the residence of the child;</w:t>
      </w:r>
    </w:p>
    <w:p w14:paraId="3FF48E30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23FFB090" w14:textId="77777777" w:rsidR="0003691B" w:rsidRDefault="0003691B" w:rsidP="0003691B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the name of the provider serving the child;</w:t>
      </w:r>
    </w:p>
    <w:p w14:paraId="23255816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6AB0FA50" w14:textId="77777777" w:rsidR="0003691B" w:rsidRDefault="0003691B" w:rsidP="0003691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description of the nature of the problem of the child, including facts relating to the problem; and </w:t>
      </w:r>
    </w:p>
    <w:p w14:paraId="227FC35A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1A7629F1" w14:textId="682341C9" w:rsidR="0003691B" w:rsidRDefault="0003691B" w:rsidP="0003691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 proposed resolution of the problem</w:t>
      </w:r>
      <w:r w:rsidR="005734B8">
        <w:t>,</w:t>
      </w:r>
      <w:r>
        <w:t xml:space="preserve"> to the extent known and available to the part</w:t>
      </w:r>
      <w:r w:rsidR="006551A4">
        <w:t>y</w:t>
      </w:r>
      <w:r>
        <w:t xml:space="preserve"> at the time the </w:t>
      </w:r>
      <w:r w:rsidRPr="00AC364A">
        <w:t>Complaint</w:t>
      </w:r>
      <w:r>
        <w:t xml:space="preserve"> is filed.</w:t>
      </w:r>
    </w:p>
    <w:p w14:paraId="4233B8A6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553F97B0" w14:textId="77777777" w:rsidR="0003691B" w:rsidRDefault="0003691B" w:rsidP="0003691B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Request for Investigation of a </w:t>
      </w:r>
      <w:r w:rsidRPr="00AC364A">
        <w:t>State Complaint</w:t>
      </w:r>
      <w:r>
        <w:t xml:space="preserve"> shall not be denied if the information </w:t>
      </w:r>
      <w:r w:rsidR="006551A4">
        <w:t>required by subsection (a)</w:t>
      </w:r>
      <w:r>
        <w:t xml:space="preserve"> is otherwise provided in writing.</w:t>
      </w:r>
    </w:p>
    <w:p w14:paraId="03AB1D8C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569938D5" w14:textId="77777777" w:rsidR="00362DCD" w:rsidRDefault="0003691B" w:rsidP="00362DC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62DCD">
        <w:t>)</w:t>
      </w:r>
      <w:r w:rsidR="00362DCD">
        <w:tab/>
      </w:r>
      <w:r>
        <w:t>State Complaints must be submitted in writing to:</w:t>
      </w:r>
      <w:r w:rsidR="00362DCD">
        <w:t xml:space="preserve"> </w:t>
      </w:r>
    </w:p>
    <w:p w14:paraId="4F262D54" w14:textId="77777777" w:rsidR="00362DCD" w:rsidRDefault="00362DCD" w:rsidP="008553F4">
      <w:pPr>
        <w:widowControl w:val="0"/>
        <w:autoSpaceDE w:val="0"/>
        <w:autoSpaceDN w:val="0"/>
        <w:adjustRightInd w:val="0"/>
      </w:pPr>
    </w:p>
    <w:p w14:paraId="06A5C337" w14:textId="77777777" w:rsidR="00362DCD" w:rsidRPr="00FF48E5" w:rsidRDefault="0003691B" w:rsidP="00FF48E5">
      <w:pPr>
        <w:ind w:left="2880"/>
      </w:pPr>
      <w:r w:rsidRPr="00FF48E5">
        <w:t>Part C Coordinator, Bureau of EI</w:t>
      </w:r>
    </w:p>
    <w:p w14:paraId="203EC456" w14:textId="77777777" w:rsidR="00362DCD" w:rsidRPr="00FF48E5" w:rsidRDefault="00362DCD" w:rsidP="00FF48E5">
      <w:pPr>
        <w:ind w:left="2880"/>
      </w:pPr>
      <w:r w:rsidRPr="00FF48E5">
        <w:t>Department of Human Services</w:t>
      </w:r>
    </w:p>
    <w:p w14:paraId="22FEE94A" w14:textId="77777777" w:rsidR="00362DCD" w:rsidRPr="00FF48E5" w:rsidRDefault="0003691B" w:rsidP="00FF48E5">
      <w:pPr>
        <w:ind w:left="2880"/>
      </w:pPr>
      <w:r w:rsidRPr="00FF48E5">
        <w:t>823 East Monroe</w:t>
      </w:r>
    </w:p>
    <w:p w14:paraId="284891C1" w14:textId="12279D11" w:rsidR="00362DCD" w:rsidRPr="00FF48E5" w:rsidRDefault="00362DCD" w:rsidP="00FF48E5">
      <w:pPr>
        <w:ind w:left="2880"/>
      </w:pPr>
      <w:r w:rsidRPr="00FF48E5">
        <w:t xml:space="preserve">Springfield, Illinois </w:t>
      </w:r>
      <w:r w:rsidR="0003691B" w:rsidRPr="00FF48E5">
        <w:t>62701</w:t>
      </w:r>
    </w:p>
    <w:p w14:paraId="14C15983" w14:textId="5893C33E" w:rsidR="00781559" w:rsidRPr="00FF48E5" w:rsidRDefault="00781559" w:rsidP="008553F4"/>
    <w:p w14:paraId="37B5F465" w14:textId="6F84451C" w:rsidR="00781559" w:rsidRPr="00FF48E5" w:rsidRDefault="00781559" w:rsidP="00FF48E5">
      <w:pPr>
        <w:ind w:left="2880"/>
      </w:pPr>
      <w:r w:rsidRPr="00FF48E5">
        <w:t>or</w:t>
      </w:r>
    </w:p>
    <w:p w14:paraId="3DBAB34F" w14:textId="3FCA80F8" w:rsidR="00781559" w:rsidRPr="00FF48E5" w:rsidRDefault="00781559" w:rsidP="008553F4"/>
    <w:p w14:paraId="56C27732" w14:textId="5278E2B1" w:rsidR="00781559" w:rsidRPr="00FF48E5" w:rsidRDefault="00781559" w:rsidP="00FF48E5">
      <w:pPr>
        <w:ind w:left="2880"/>
      </w:pPr>
      <w:r w:rsidRPr="00FF48E5">
        <w:t>DHS.EIquestions@illinois.gov</w:t>
      </w:r>
    </w:p>
    <w:p w14:paraId="030C52BD" w14:textId="77777777" w:rsidR="00362DCD" w:rsidRDefault="00362DCD" w:rsidP="008553F4">
      <w:pPr>
        <w:widowControl w:val="0"/>
        <w:autoSpaceDE w:val="0"/>
        <w:autoSpaceDN w:val="0"/>
        <w:adjustRightInd w:val="0"/>
      </w:pPr>
    </w:p>
    <w:p w14:paraId="0ACEC3ED" w14:textId="77777777" w:rsidR="0003691B" w:rsidRDefault="0003691B" w:rsidP="0003691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551A4">
        <w:t>)</w:t>
      </w:r>
      <w:r w:rsidR="00362DCD">
        <w:tab/>
      </w:r>
      <w:r>
        <w:t xml:space="preserve">The </w:t>
      </w:r>
      <w:r w:rsidR="003726F4">
        <w:t>C</w:t>
      </w:r>
      <w:r>
        <w:t xml:space="preserve">omplainant must forward a copy of the </w:t>
      </w:r>
      <w:r w:rsidRPr="00AC364A">
        <w:t>State Complaint</w:t>
      </w:r>
      <w:r>
        <w:t xml:space="preserve"> to the Respondent at the same time the </w:t>
      </w:r>
      <w:r w:rsidR="006551A4">
        <w:t>C</w:t>
      </w:r>
      <w:r>
        <w:t xml:space="preserve">omplainant files the </w:t>
      </w:r>
      <w:r w:rsidRPr="00AC364A">
        <w:t>State Complaint</w:t>
      </w:r>
      <w:r>
        <w:t xml:space="preserve"> with the Department.</w:t>
      </w:r>
    </w:p>
    <w:p w14:paraId="393F1578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44277A2B" w14:textId="77777777" w:rsidR="0003691B" w:rsidRDefault="0003691B" w:rsidP="0003691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alleged violation must have occurred not more than one year before the date </w:t>
      </w:r>
      <w:r>
        <w:lastRenderedPageBreak/>
        <w:t xml:space="preserve">the </w:t>
      </w:r>
      <w:r w:rsidRPr="00AC364A">
        <w:t>State Complaint</w:t>
      </w:r>
      <w:r>
        <w:t xml:space="preserve"> is received by the Department.</w:t>
      </w:r>
    </w:p>
    <w:p w14:paraId="3986AF85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7F084A5E" w14:textId="3C1E21FA" w:rsidR="0003691B" w:rsidRDefault="0003691B" w:rsidP="0003691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shall have 60 calendar days </w:t>
      </w:r>
      <w:r w:rsidR="006551A4">
        <w:t xml:space="preserve">after </w:t>
      </w:r>
      <w:r>
        <w:t xml:space="preserve">receipt of the </w:t>
      </w:r>
      <w:r w:rsidRPr="00AC364A">
        <w:t>State Complaint</w:t>
      </w:r>
      <w:r>
        <w:t xml:space="preserve"> to investigate and issue a written decision to the </w:t>
      </w:r>
      <w:r w:rsidR="006551A4">
        <w:t>C</w:t>
      </w:r>
      <w:r>
        <w:t xml:space="preserve">omplainant and interested parties, addressing each allegation in the </w:t>
      </w:r>
      <w:r w:rsidRPr="00AC364A">
        <w:t>State Complaint</w:t>
      </w:r>
      <w:r>
        <w:t>.  During this time, the Department may carry out an independent</w:t>
      </w:r>
      <w:r w:rsidR="00861978">
        <w:t>,</w:t>
      </w:r>
      <w:r>
        <w:t xml:space="preserve"> on-site investigation if deemed necessary and must give the </w:t>
      </w:r>
      <w:r w:rsidR="006551A4">
        <w:t>C</w:t>
      </w:r>
      <w:r w:rsidRPr="00AC364A">
        <w:t>omplainant</w:t>
      </w:r>
      <w:r>
        <w:t xml:space="preserve"> an opportunity to submit additional information, either orally or in writing, about the allegations made in the </w:t>
      </w:r>
      <w:r w:rsidRPr="00AC364A">
        <w:t>Complaint</w:t>
      </w:r>
      <w:r>
        <w:t xml:space="preserve">.  The Department shall give an opportunity for the </w:t>
      </w:r>
      <w:r w:rsidR="006551A4">
        <w:t>C</w:t>
      </w:r>
      <w:r>
        <w:t xml:space="preserve">omplainant and the Respondent to voluntarily engage in </w:t>
      </w:r>
      <w:r w:rsidRPr="00AC364A">
        <w:t>Mediation</w:t>
      </w:r>
      <w:r>
        <w:t xml:space="preserve"> as set forth in Section 500.145.</w:t>
      </w:r>
    </w:p>
    <w:p w14:paraId="7C19FC2B" w14:textId="77777777" w:rsidR="0003691B" w:rsidRDefault="0003691B" w:rsidP="008553F4">
      <w:pPr>
        <w:widowControl w:val="0"/>
        <w:autoSpaceDE w:val="0"/>
        <w:autoSpaceDN w:val="0"/>
        <w:adjustRightInd w:val="0"/>
      </w:pPr>
    </w:p>
    <w:p w14:paraId="0BEBFFED" w14:textId="77777777" w:rsidR="00123C87" w:rsidRDefault="0003691B" w:rsidP="00362DC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362DCD">
        <w:t>After reviewing all relevant information, the Department must issue a writt</w:t>
      </w:r>
      <w:r w:rsidR="009867A0">
        <w:t xml:space="preserve">en decision to the </w:t>
      </w:r>
      <w:r w:rsidR="006551A4">
        <w:t>Complainant</w:t>
      </w:r>
      <w:r w:rsidR="009867A0">
        <w:t xml:space="preserve"> </w:t>
      </w:r>
      <w:r w:rsidR="00362DCD">
        <w:t xml:space="preserve">and the </w:t>
      </w:r>
      <w:r>
        <w:t>Respondent</w:t>
      </w:r>
      <w:r w:rsidR="00362DCD">
        <w:t xml:space="preserve"> as to whether the </w:t>
      </w:r>
      <w:r>
        <w:t>Respondent</w:t>
      </w:r>
      <w:r w:rsidR="00362DCD">
        <w:t xml:space="preserve"> is violating a requirement of Part C</w:t>
      </w:r>
      <w:r>
        <w:t>.</w:t>
      </w:r>
      <w:r w:rsidR="00362DCD">
        <w:t xml:space="preserve"> </w:t>
      </w:r>
      <w:r>
        <w:t>The Department shall address</w:t>
      </w:r>
      <w:r w:rsidR="00362DCD">
        <w:t xml:space="preserve"> each allegation in the </w:t>
      </w:r>
      <w:r>
        <w:t>State Complaint</w:t>
      </w:r>
      <w:r w:rsidR="00362DCD">
        <w:t xml:space="preserve"> and </w:t>
      </w:r>
      <w:r>
        <w:t>include</w:t>
      </w:r>
      <w:r w:rsidR="00362DCD">
        <w:t xml:space="preserve"> findings of fact</w:t>
      </w:r>
      <w:r w:rsidR="006551A4">
        <w:t>,</w:t>
      </w:r>
      <w:r w:rsidR="00362DCD">
        <w:t xml:space="preserve"> as well as conclusions, </w:t>
      </w:r>
      <w:r>
        <w:t xml:space="preserve">and </w:t>
      </w:r>
      <w:r w:rsidR="00362DCD">
        <w:t xml:space="preserve">the reasons for the </w:t>
      </w:r>
      <w:r>
        <w:t xml:space="preserve">Department's </w:t>
      </w:r>
      <w:r w:rsidR="00362DCD">
        <w:t>final decision</w:t>
      </w:r>
      <w:r>
        <w:t>.</w:t>
      </w:r>
      <w:r w:rsidR="00362DCD">
        <w:t xml:space="preserve"> </w:t>
      </w:r>
      <w:r>
        <w:t>If the Department determines the Respondent failed to provide appropriate services, the Department shall address:</w:t>
      </w:r>
    </w:p>
    <w:p w14:paraId="77C5D5C6" w14:textId="77777777" w:rsidR="00123C87" w:rsidRDefault="00123C87" w:rsidP="008553F4">
      <w:pPr>
        <w:widowControl w:val="0"/>
        <w:autoSpaceDE w:val="0"/>
        <w:autoSpaceDN w:val="0"/>
        <w:adjustRightInd w:val="0"/>
      </w:pPr>
    </w:p>
    <w:p w14:paraId="7BA71359" w14:textId="5A7F9B4C" w:rsidR="00362DCD" w:rsidRDefault="00123C87" w:rsidP="00123C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62DCD">
        <w:t xml:space="preserve">corrective actions required to correct the causes of the </w:t>
      </w:r>
      <w:r w:rsidR="003726F4">
        <w:t>Complaint</w:t>
      </w:r>
      <w:r w:rsidR="006551A4">
        <w:t>,</w:t>
      </w:r>
      <w:r>
        <w:t xml:space="preserve"> </w:t>
      </w:r>
      <w:r w:rsidR="006551A4">
        <w:t>which</w:t>
      </w:r>
      <w:r>
        <w:t xml:space="preserve"> may include compensatory services or monetary damages</w:t>
      </w:r>
      <w:r w:rsidR="003E7F13">
        <w:t xml:space="preserve"> (see 34 CFR 303.432(b)(1))</w:t>
      </w:r>
      <w:r>
        <w:t>; and</w:t>
      </w:r>
      <w:r w:rsidR="00362DCD">
        <w:t xml:space="preserve"> </w:t>
      </w:r>
    </w:p>
    <w:p w14:paraId="539E3870" w14:textId="77777777" w:rsidR="00123C87" w:rsidRDefault="00123C87" w:rsidP="008553F4">
      <w:pPr>
        <w:widowControl w:val="0"/>
        <w:autoSpaceDE w:val="0"/>
        <w:autoSpaceDN w:val="0"/>
        <w:adjustRightInd w:val="0"/>
      </w:pPr>
    </w:p>
    <w:p w14:paraId="77E80B4F" w14:textId="77777777" w:rsidR="00123C87" w:rsidRDefault="00123C87" w:rsidP="00123C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changes </w:t>
      </w:r>
      <w:r w:rsidR="006551A4">
        <w:t>in</w:t>
      </w:r>
      <w:r>
        <w:t xml:space="preserve"> policy and procedures that impact the future provision of service for children with disabilities and their families is required.</w:t>
      </w:r>
    </w:p>
    <w:p w14:paraId="1C06C1C0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4A439387" w14:textId="77777777" w:rsidR="00362DCD" w:rsidRDefault="00123C87" w:rsidP="00362DCD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362DCD">
        <w:t>)</w:t>
      </w:r>
      <w:r w:rsidR="00362DCD">
        <w:tab/>
        <w:t xml:space="preserve">Final decisions are enforceable and binding.  They may be amended only upon agreement in writing between the Department and the </w:t>
      </w:r>
      <w:r>
        <w:t>Respondent.</w:t>
      </w:r>
      <w:r w:rsidR="00362DCD">
        <w:t xml:space="preserve"> </w:t>
      </w:r>
    </w:p>
    <w:p w14:paraId="1D7F8566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402D6E59" w14:textId="77777777" w:rsidR="00362DCD" w:rsidRDefault="00123C87" w:rsidP="00362DC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362DCD">
        <w:t>)</w:t>
      </w:r>
      <w:r w:rsidR="00362DCD">
        <w:tab/>
      </w:r>
      <w:r>
        <w:t>The Respondent</w:t>
      </w:r>
      <w:r w:rsidR="00362DCD">
        <w:t xml:space="preserve"> may request reasonable technical assistance or alternative corrective actions. However, these requests do not change the final decision unless it is amended in writing between the Department and the </w:t>
      </w:r>
      <w:r>
        <w:t>Respondent</w:t>
      </w:r>
      <w:r w:rsidR="00362DCD">
        <w:t xml:space="preserve">. </w:t>
      </w:r>
    </w:p>
    <w:p w14:paraId="29EF336F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589500C4" w14:textId="77777777" w:rsidR="00362DCD" w:rsidRDefault="00123C87" w:rsidP="00362DCD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362DCD">
        <w:t>)</w:t>
      </w:r>
      <w:r w:rsidR="00362DCD">
        <w:tab/>
        <w:t xml:space="preserve">The </w:t>
      </w:r>
      <w:proofErr w:type="gramStart"/>
      <w:r w:rsidR="00362DCD">
        <w:t>60 day</w:t>
      </w:r>
      <w:proofErr w:type="gramEnd"/>
      <w:r w:rsidR="00362DCD">
        <w:t xml:space="preserve"> time period in subsection (</w:t>
      </w:r>
      <w:r>
        <w:t>f</w:t>
      </w:r>
      <w:r w:rsidR="00362DCD">
        <w:t xml:space="preserve">) may be extended if exceptional circumstances exist with respect to a </w:t>
      </w:r>
      <w:r w:rsidR="006551A4">
        <w:t xml:space="preserve">particular </w:t>
      </w:r>
      <w:r>
        <w:t>State Complaint</w:t>
      </w:r>
      <w:r w:rsidR="00362DCD">
        <w:t xml:space="preserve">. </w:t>
      </w:r>
    </w:p>
    <w:p w14:paraId="674B3811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4BB2CE59" w14:textId="77777777" w:rsidR="00362DCD" w:rsidRDefault="00123C87" w:rsidP="00362DCD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362DCD">
        <w:t>)</w:t>
      </w:r>
      <w:r w:rsidR="00362DCD">
        <w:tab/>
        <w:t xml:space="preserve">The </w:t>
      </w:r>
      <w:r>
        <w:t>Department</w:t>
      </w:r>
      <w:r w:rsidR="00362DCD">
        <w:t xml:space="preserve"> shall monitor implement</w:t>
      </w:r>
      <w:r w:rsidR="009867A0">
        <w:t>at</w:t>
      </w:r>
      <w:r w:rsidR="00362DCD">
        <w:t xml:space="preserve">ion of the final decision to determine that corrective actions and timelines have been met. </w:t>
      </w:r>
    </w:p>
    <w:p w14:paraId="25A314EF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7C66DE2D" w14:textId="77777777" w:rsidR="00362DCD" w:rsidRDefault="00123C87" w:rsidP="00362DCD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362DCD">
        <w:t>)</w:t>
      </w:r>
      <w:r w:rsidR="00362DCD">
        <w:tab/>
      </w:r>
      <w:r>
        <w:t>The payee/providers</w:t>
      </w:r>
      <w:r w:rsidR="00362DCD">
        <w:t xml:space="preserve"> may be terminated from participation in Part C programs if corrective actions are not </w:t>
      </w:r>
      <w:r>
        <w:t xml:space="preserve">appropriate and/or not </w:t>
      </w:r>
      <w:r w:rsidR="00362DCD">
        <w:t xml:space="preserve">met. </w:t>
      </w:r>
    </w:p>
    <w:p w14:paraId="11665DE2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1F2C728F" w14:textId="77777777" w:rsidR="00362DCD" w:rsidRDefault="00123C87" w:rsidP="00362DCD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362DCD">
        <w:t>)</w:t>
      </w:r>
      <w:r w:rsidR="00362DCD">
        <w:tab/>
        <w:t xml:space="preserve">If an issue raised in a written </w:t>
      </w:r>
      <w:r>
        <w:t>State Complaint</w:t>
      </w:r>
      <w:r w:rsidR="00362DCD">
        <w:t xml:space="preserve"> (or any part of a </w:t>
      </w:r>
      <w:r>
        <w:t>State Complaint</w:t>
      </w:r>
      <w:r w:rsidR="00362DCD">
        <w:t xml:space="preserve">) is also the subject of </w:t>
      </w:r>
      <w:r w:rsidR="006551A4">
        <w:t xml:space="preserve">a </w:t>
      </w:r>
      <w:r>
        <w:t>Due Process Hearing</w:t>
      </w:r>
      <w:r w:rsidR="00362DCD">
        <w:t xml:space="preserve"> under Section 500.140, the Department must set aside any part that is being addressed </w:t>
      </w:r>
      <w:r>
        <w:t>in a Due Process Hearing</w:t>
      </w:r>
      <w:r w:rsidR="00362DCD">
        <w:t xml:space="preserve"> but resolve any other issues within the </w:t>
      </w:r>
      <w:proofErr w:type="gramStart"/>
      <w:r w:rsidR="00362DCD">
        <w:t>60 day</w:t>
      </w:r>
      <w:proofErr w:type="gramEnd"/>
      <w:r w:rsidR="00362DCD">
        <w:t xml:space="preserve"> timeline. </w:t>
      </w:r>
    </w:p>
    <w:p w14:paraId="0733880F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5EF74C16" w14:textId="31ECF526" w:rsidR="00362DCD" w:rsidRDefault="004C2489" w:rsidP="00362DCD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n</w:t>
      </w:r>
      <w:r w:rsidR="00362DCD">
        <w:t>)</w:t>
      </w:r>
      <w:r w:rsidR="00362DCD">
        <w:tab/>
        <w:t xml:space="preserve">If an issue is raised in a written </w:t>
      </w:r>
      <w:r>
        <w:t>Complaint</w:t>
      </w:r>
      <w:r w:rsidR="00362DCD">
        <w:t xml:space="preserve"> that has already been decided in a </w:t>
      </w:r>
      <w:r>
        <w:t>Due Process Hearing</w:t>
      </w:r>
      <w:r w:rsidR="00362DCD">
        <w:t xml:space="preserve">, the previous decision is binding and the </w:t>
      </w:r>
      <w:r w:rsidR="00781559" w:rsidRPr="00341969">
        <w:t>Complainant</w:t>
      </w:r>
      <w:r w:rsidR="00362DCD">
        <w:t xml:space="preserve"> must be so informed. </w:t>
      </w:r>
    </w:p>
    <w:p w14:paraId="502EE160" w14:textId="77777777" w:rsidR="0019084C" w:rsidRDefault="0019084C" w:rsidP="008553F4">
      <w:pPr>
        <w:widowControl w:val="0"/>
        <w:autoSpaceDE w:val="0"/>
        <w:autoSpaceDN w:val="0"/>
        <w:adjustRightInd w:val="0"/>
      </w:pPr>
    </w:p>
    <w:p w14:paraId="3189039B" w14:textId="77777777" w:rsidR="00362DCD" w:rsidRDefault="004C2489" w:rsidP="00362DCD">
      <w:pPr>
        <w:widowControl w:val="0"/>
        <w:autoSpaceDE w:val="0"/>
        <w:autoSpaceDN w:val="0"/>
        <w:adjustRightInd w:val="0"/>
        <w:ind w:left="1440" w:hanging="720"/>
      </w:pPr>
      <w:r>
        <w:t>o</w:t>
      </w:r>
      <w:r w:rsidR="00362DCD">
        <w:t>)</w:t>
      </w:r>
      <w:r w:rsidR="00362DCD">
        <w:tab/>
        <w:t xml:space="preserve">A </w:t>
      </w:r>
      <w:r>
        <w:t>State Complaint</w:t>
      </w:r>
      <w:r w:rsidR="00362DCD">
        <w:t xml:space="preserve"> alleging failure of</w:t>
      </w:r>
      <w:r>
        <w:t xml:space="preserve"> the Respondent</w:t>
      </w:r>
      <w:r w:rsidR="00362DCD">
        <w:t xml:space="preserve"> to implement a decision </w:t>
      </w:r>
      <w:r>
        <w:t>pursuant to a Request for Due Process Hearing</w:t>
      </w:r>
      <w:r w:rsidR="00362DCD">
        <w:t xml:space="preserve"> must be resolved by the Department. </w:t>
      </w:r>
    </w:p>
    <w:p w14:paraId="705C2214" w14:textId="77777777" w:rsidR="001E045A" w:rsidRDefault="001E045A" w:rsidP="008553F4">
      <w:pPr>
        <w:widowControl w:val="0"/>
        <w:autoSpaceDE w:val="0"/>
        <w:autoSpaceDN w:val="0"/>
        <w:adjustRightInd w:val="0"/>
      </w:pPr>
    </w:p>
    <w:p w14:paraId="19945221" w14:textId="27A343CC" w:rsidR="004C2489" w:rsidRDefault="004C2489" w:rsidP="004C2489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After completing an investigation, in response to the </w:t>
      </w:r>
      <w:r w:rsidRPr="00AC364A">
        <w:t>Complaint</w:t>
      </w:r>
      <w:r>
        <w:t>, the Department may find that a corrective action plan is not appropriate given the circumstances.  With good cause shown that the public interest, safety</w:t>
      </w:r>
      <w:r w:rsidR="005734B8">
        <w:t>,</w:t>
      </w:r>
      <w:r>
        <w:t xml:space="preserve"> or welfare may be at risk, the provider</w:t>
      </w:r>
      <w:r w:rsidR="006551A4">
        <w:t>'</w:t>
      </w:r>
      <w:r>
        <w:t xml:space="preserve">s credential and enrollment or Provider Agreement may be immediately terminated pursuant to Section 500.60(q). </w:t>
      </w:r>
    </w:p>
    <w:p w14:paraId="6A1F6F03" w14:textId="77777777" w:rsidR="004C2489" w:rsidRDefault="004C2489" w:rsidP="008553F4">
      <w:pPr>
        <w:widowControl w:val="0"/>
        <w:autoSpaceDE w:val="0"/>
        <w:autoSpaceDN w:val="0"/>
        <w:adjustRightInd w:val="0"/>
      </w:pPr>
    </w:p>
    <w:p w14:paraId="52F2BAAD" w14:textId="13E225B5" w:rsidR="004C2489" w:rsidRPr="00D55B37" w:rsidRDefault="0078155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C619D">
        <w:t>8450</w:t>
      </w:r>
      <w:r w:rsidRPr="004E27CF">
        <w:t xml:space="preserve">, effective </w:t>
      </w:r>
      <w:r w:rsidR="006C619D">
        <w:t>June 5, 2025</w:t>
      </w:r>
      <w:r w:rsidRPr="004E27CF">
        <w:t>)</w:t>
      </w:r>
    </w:p>
    <w:sectPr w:rsidR="004C2489" w:rsidRPr="00D55B37" w:rsidSect="00362D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DCD"/>
    <w:rsid w:val="0003691B"/>
    <w:rsid w:val="000C64A2"/>
    <w:rsid w:val="00117F68"/>
    <w:rsid w:val="00123C87"/>
    <w:rsid w:val="001300C7"/>
    <w:rsid w:val="0019084C"/>
    <w:rsid w:val="001E045A"/>
    <w:rsid w:val="00225D36"/>
    <w:rsid w:val="00362DCD"/>
    <w:rsid w:val="003726F4"/>
    <w:rsid w:val="003D0681"/>
    <w:rsid w:val="003E7F13"/>
    <w:rsid w:val="004C2489"/>
    <w:rsid w:val="004F224F"/>
    <w:rsid w:val="005734B8"/>
    <w:rsid w:val="005C3366"/>
    <w:rsid w:val="006551A4"/>
    <w:rsid w:val="006C619D"/>
    <w:rsid w:val="00781559"/>
    <w:rsid w:val="008264AE"/>
    <w:rsid w:val="008302B4"/>
    <w:rsid w:val="008553F4"/>
    <w:rsid w:val="00861978"/>
    <w:rsid w:val="009867A0"/>
    <w:rsid w:val="00B231E3"/>
    <w:rsid w:val="00CA5F5B"/>
    <w:rsid w:val="00D634D7"/>
    <w:rsid w:val="00D905D0"/>
    <w:rsid w:val="00E43CFB"/>
    <w:rsid w:val="00E7752C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2A7FB5"/>
  <w15:docId w15:val="{F602CBE5-24D7-4E10-8209-DE00D6BD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67A0"/>
    <w:pPr>
      <w:spacing w:after="120"/>
    </w:pPr>
  </w:style>
  <w:style w:type="paragraph" w:styleId="BodyTextIndent">
    <w:name w:val="Body Text Indent"/>
    <w:basedOn w:val="Normal"/>
    <w:rsid w:val="009867A0"/>
    <w:pPr>
      <w:spacing w:after="120"/>
      <w:ind w:left="360"/>
    </w:pPr>
  </w:style>
  <w:style w:type="paragraph" w:customStyle="1" w:styleId="JCARSourceNote">
    <w:name w:val="JCAR Source Note"/>
    <w:basedOn w:val="Normal"/>
    <w:rsid w:val="001E045A"/>
  </w:style>
  <w:style w:type="character" w:styleId="Hyperlink">
    <w:name w:val="Hyperlink"/>
    <w:basedOn w:val="DefaultParagraphFont"/>
    <w:unhideWhenUsed/>
    <w:rsid w:val="00781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Shipley, Melissa A.</cp:lastModifiedBy>
  <cp:revision>4</cp:revision>
  <dcterms:created xsi:type="dcterms:W3CDTF">2025-05-19T21:00:00Z</dcterms:created>
  <dcterms:modified xsi:type="dcterms:W3CDTF">2025-06-20T14:33:00Z</dcterms:modified>
</cp:coreProperties>
</file>