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4AAA8" w14:textId="77777777" w:rsidR="001A75CB" w:rsidRPr="008D74DF" w:rsidRDefault="001A75CB" w:rsidP="001A75CB">
      <w:pPr>
        <w:snapToGrid w:val="0"/>
        <w:rPr>
          <w:bCs/>
        </w:rPr>
      </w:pPr>
    </w:p>
    <w:p w14:paraId="35FF0A58" w14:textId="501426E3" w:rsidR="001A75CB" w:rsidRPr="001A75CB" w:rsidRDefault="001A75CB" w:rsidP="001A75CB">
      <w:pPr>
        <w:snapToGrid w:val="0"/>
        <w:rPr>
          <w:b/>
        </w:rPr>
      </w:pPr>
      <w:r w:rsidRPr="001A75CB">
        <w:rPr>
          <w:b/>
        </w:rPr>
        <w:t>Section 415.60  Certified Relative Caregiver Orientation</w:t>
      </w:r>
    </w:p>
    <w:p w14:paraId="143C9E2C" w14:textId="77777777" w:rsidR="001A75CB" w:rsidRPr="008D74DF" w:rsidRDefault="001A75CB" w:rsidP="001A75CB">
      <w:pPr>
        <w:snapToGrid w:val="0"/>
        <w:rPr>
          <w:bCs/>
        </w:rPr>
      </w:pPr>
    </w:p>
    <w:p w14:paraId="748CCD68" w14:textId="77777777" w:rsidR="001A75CB" w:rsidRPr="001A75CB" w:rsidRDefault="001A75CB" w:rsidP="001A75CB">
      <w:pPr>
        <w:snapToGrid w:val="0"/>
        <w:rPr>
          <w:bCs/>
        </w:rPr>
      </w:pPr>
      <w:r w:rsidRPr="001A75CB">
        <w:rPr>
          <w:bCs/>
        </w:rPr>
        <w:t>A placing worker shall provide a certified relative caregiver with an orientation that includes the following information:</w:t>
      </w:r>
    </w:p>
    <w:p w14:paraId="58B0FD4D" w14:textId="77777777" w:rsidR="001A75CB" w:rsidRPr="001A75CB" w:rsidRDefault="001A75CB" w:rsidP="001A75CB">
      <w:pPr>
        <w:snapToGrid w:val="0"/>
        <w:rPr>
          <w:bCs/>
        </w:rPr>
      </w:pPr>
    </w:p>
    <w:p w14:paraId="18F249D1" w14:textId="4FB4813F" w:rsidR="001A75CB" w:rsidRPr="001A75CB" w:rsidRDefault="001A75CB" w:rsidP="001A75CB">
      <w:pPr>
        <w:snapToGrid w:val="0"/>
        <w:ind w:left="720"/>
        <w:rPr>
          <w:i/>
          <w:iCs/>
          <w:szCs w:val="20"/>
        </w:rPr>
      </w:pPr>
      <w:r w:rsidRPr="001A75CB">
        <w:rPr>
          <w:szCs w:val="20"/>
        </w:rPr>
        <w:t>a)</w:t>
      </w:r>
      <w:r w:rsidRPr="001A75CB">
        <w:rPr>
          <w:szCs w:val="20"/>
        </w:rPr>
        <w:tab/>
        <w:t xml:space="preserve">the </w:t>
      </w:r>
      <w:r w:rsidRPr="001A75CB">
        <w:rPr>
          <w:i/>
          <w:iCs/>
          <w:szCs w:val="20"/>
        </w:rPr>
        <w:t>caregiver</w:t>
      </w:r>
      <w:r w:rsidR="002538E9">
        <w:rPr>
          <w:i/>
          <w:iCs/>
          <w:szCs w:val="20"/>
        </w:rPr>
        <w:t>'</w:t>
      </w:r>
      <w:r w:rsidRPr="001A75CB">
        <w:rPr>
          <w:i/>
          <w:iCs/>
          <w:szCs w:val="20"/>
        </w:rPr>
        <w:t>s right to be heard in juvenile court proceedings;</w:t>
      </w:r>
    </w:p>
    <w:p w14:paraId="22069E69" w14:textId="77777777" w:rsidR="001A75CB" w:rsidRPr="001A75CB" w:rsidRDefault="001A75CB" w:rsidP="001A75CB">
      <w:pPr>
        <w:snapToGrid w:val="0"/>
        <w:rPr>
          <w:bCs/>
          <w:i/>
          <w:iCs/>
        </w:rPr>
      </w:pPr>
    </w:p>
    <w:p w14:paraId="72F7E08F" w14:textId="77777777" w:rsidR="001A75CB" w:rsidRPr="001A75CB" w:rsidRDefault="001A75CB" w:rsidP="001A75CB">
      <w:pPr>
        <w:snapToGrid w:val="0"/>
        <w:ind w:left="1440" w:hanging="720"/>
        <w:rPr>
          <w:bCs/>
          <w:i/>
          <w:iCs/>
        </w:rPr>
      </w:pPr>
      <w:r w:rsidRPr="001A75CB">
        <w:rPr>
          <w:bCs/>
        </w:rPr>
        <w:t>b)</w:t>
      </w:r>
      <w:r w:rsidRPr="001A75CB">
        <w:rPr>
          <w:bCs/>
        </w:rPr>
        <w:tab/>
      </w:r>
      <w:r w:rsidRPr="001A75CB">
        <w:rPr>
          <w:bCs/>
          <w:i/>
          <w:iCs/>
        </w:rPr>
        <w:t>the availability of the advocacy hotline and Office of Inspector General that caregivers may use to report incidents of misconduct or violation of rules by Department employees, service providers, or contractors;</w:t>
      </w:r>
    </w:p>
    <w:p w14:paraId="2A6EB38E" w14:textId="77777777" w:rsidR="001A75CB" w:rsidRPr="001A75CB" w:rsidRDefault="001A75CB" w:rsidP="001A75CB">
      <w:pPr>
        <w:snapToGrid w:val="0"/>
        <w:rPr>
          <w:bCs/>
          <w:i/>
          <w:iCs/>
        </w:rPr>
      </w:pPr>
    </w:p>
    <w:p w14:paraId="73EB0DBF" w14:textId="07F8D202" w:rsidR="001A75CB" w:rsidRPr="001A75CB" w:rsidRDefault="001A75CB" w:rsidP="001A75CB">
      <w:pPr>
        <w:snapToGrid w:val="0"/>
        <w:ind w:left="1440" w:hanging="720"/>
        <w:rPr>
          <w:bCs/>
          <w:i/>
          <w:iCs/>
        </w:rPr>
      </w:pPr>
      <w:r w:rsidRPr="001A75CB">
        <w:rPr>
          <w:bCs/>
        </w:rPr>
        <w:t>c)</w:t>
      </w:r>
      <w:r w:rsidRPr="001A75CB">
        <w:rPr>
          <w:bCs/>
        </w:rPr>
        <w:tab/>
      </w:r>
      <w:r w:rsidRPr="001A75CB">
        <w:rPr>
          <w:bCs/>
          <w:i/>
          <w:iCs/>
        </w:rPr>
        <w:t>the Department</w:t>
      </w:r>
      <w:r w:rsidR="007E4F0D">
        <w:rPr>
          <w:bCs/>
          <w:i/>
          <w:iCs/>
        </w:rPr>
        <w:t>'</w:t>
      </w:r>
      <w:r w:rsidRPr="001A75CB">
        <w:rPr>
          <w:bCs/>
          <w:i/>
          <w:iCs/>
        </w:rPr>
        <w:t>s expectation for caregiver obligations including, but not limited to:</w:t>
      </w:r>
    </w:p>
    <w:p w14:paraId="1B7B5D50" w14:textId="77777777" w:rsidR="001A75CB" w:rsidRPr="001A75CB" w:rsidRDefault="001A75CB" w:rsidP="001A75CB">
      <w:pPr>
        <w:snapToGrid w:val="0"/>
        <w:rPr>
          <w:bCs/>
          <w:i/>
          <w:iCs/>
        </w:rPr>
      </w:pPr>
    </w:p>
    <w:p w14:paraId="66B78287" w14:textId="77777777" w:rsidR="001A75CB" w:rsidRPr="001A75CB" w:rsidRDefault="001A75CB" w:rsidP="001A75CB">
      <w:pPr>
        <w:snapToGrid w:val="0"/>
        <w:ind w:left="1440"/>
        <w:rPr>
          <w:bCs/>
        </w:rPr>
      </w:pPr>
      <w:r w:rsidRPr="001A75CB">
        <w:rPr>
          <w:bCs/>
        </w:rPr>
        <w:t>1)</w:t>
      </w:r>
      <w:r w:rsidRPr="001A75CB">
        <w:rPr>
          <w:bCs/>
        </w:rPr>
        <w:tab/>
      </w:r>
      <w:r w:rsidRPr="001A75CB">
        <w:rPr>
          <w:bCs/>
          <w:i/>
          <w:iCs/>
        </w:rPr>
        <w:t>specific requirements of court orders</w:t>
      </w:r>
      <w:r w:rsidRPr="001A75CB">
        <w:rPr>
          <w:bCs/>
        </w:rPr>
        <w:t>;</w:t>
      </w:r>
    </w:p>
    <w:p w14:paraId="2917654A" w14:textId="77777777" w:rsidR="001A75CB" w:rsidRPr="001A75CB" w:rsidRDefault="001A75CB" w:rsidP="001A75CB">
      <w:pPr>
        <w:snapToGrid w:val="0"/>
        <w:rPr>
          <w:bCs/>
        </w:rPr>
      </w:pPr>
    </w:p>
    <w:p w14:paraId="01957F1C" w14:textId="77777777" w:rsidR="001A75CB" w:rsidRPr="001A75CB" w:rsidRDefault="001A75CB" w:rsidP="001A75CB">
      <w:pPr>
        <w:snapToGrid w:val="0"/>
        <w:ind w:left="1440"/>
        <w:rPr>
          <w:bCs/>
        </w:rPr>
      </w:pPr>
      <w:r w:rsidRPr="001A75CB">
        <w:rPr>
          <w:bCs/>
        </w:rPr>
        <w:t>2)</w:t>
      </w:r>
      <w:r w:rsidRPr="001A75CB">
        <w:rPr>
          <w:bCs/>
        </w:rPr>
        <w:tab/>
      </w:r>
      <w:r w:rsidRPr="001A75CB">
        <w:rPr>
          <w:bCs/>
          <w:i/>
          <w:iCs/>
        </w:rPr>
        <w:t>critical incident notifications and timeframes</w:t>
      </w:r>
      <w:r w:rsidRPr="001A75CB">
        <w:rPr>
          <w:bCs/>
        </w:rPr>
        <w:t>;</w:t>
      </w:r>
    </w:p>
    <w:p w14:paraId="5F3A03A0" w14:textId="77777777" w:rsidR="001A75CB" w:rsidRPr="001A75CB" w:rsidRDefault="001A75CB" w:rsidP="001A75CB">
      <w:pPr>
        <w:snapToGrid w:val="0"/>
        <w:rPr>
          <w:bCs/>
        </w:rPr>
      </w:pPr>
    </w:p>
    <w:p w14:paraId="4FAA02A4" w14:textId="573127E1" w:rsidR="001A75CB" w:rsidRPr="001A75CB" w:rsidRDefault="001A75CB" w:rsidP="001A75CB">
      <w:pPr>
        <w:snapToGrid w:val="0"/>
        <w:ind w:left="2160" w:hanging="720"/>
        <w:rPr>
          <w:bCs/>
        </w:rPr>
      </w:pPr>
      <w:r w:rsidRPr="001A75CB">
        <w:rPr>
          <w:bCs/>
        </w:rPr>
        <w:t>3)</w:t>
      </w:r>
      <w:r w:rsidRPr="001A75CB">
        <w:rPr>
          <w:bCs/>
        </w:rPr>
        <w:tab/>
        <w:t>Age-appropriate supervision that meets the youth in care</w:t>
      </w:r>
      <w:r w:rsidR="002538E9">
        <w:rPr>
          <w:bCs/>
        </w:rPr>
        <w:t>'</w:t>
      </w:r>
      <w:r w:rsidRPr="001A75CB">
        <w:rPr>
          <w:bCs/>
        </w:rPr>
        <w:t>s identified needs. Permanency workers will be required to discuss supervision during monthly home visits.</w:t>
      </w:r>
    </w:p>
    <w:p w14:paraId="48343A00" w14:textId="77777777" w:rsidR="001A75CB" w:rsidRPr="001A75CB" w:rsidRDefault="001A75CB" w:rsidP="001A75CB">
      <w:pPr>
        <w:snapToGrid w:val="0"/>
        <w:rPr>
          <w:bCs/>
        </w:rPr>
      </w:pPr>
    </w:p>
    <w:p w14:paraId="16A1E579" w14:textId="0354D348" w:rsidR="001A75CB" w:rsidRPr="001A75CB" w:rsidRDefault="001A75CB" w:rsidP="001A75CB">
      <w:pPr>
        <w:snapToGrid w:val="0"/>
        <w:ind w:left="1440"/>
        <w:rPr>
          <w:bCs/>
          <w:i/>
          <w:iCs/>
        </w:rPr>
      </w:pPr>
      <w:r w:rsidRPr="001A75CB">
        <w:rPr>
          <w:bCs/>
        </w:rPr>
        <w:t>4)</w:t>
      </w:r>
      <w:r w:rsidRPr="001A75CB">
        <w:rPr>
          <w:bCs/>
        </w:rPr>
        <w:tab/>
      </w:r>
      <w:r w:rsidRPr="001A75CB">
        <w:rPr>
          <w:bCs/>
          <w:i/>
          <w:iCs/>
        </w:rPr>
        <w:t>out-of-state travel</w:t>
      </w:r>
      <w:r w:rsidRPr="001A75CB">
        <w:rPr>
          <w:bCs/>
        </w:rPr>
        <w:t>;</w:t>
      </w:r>
    </w:p>
    <w:p w14:paraId="5BED13C5" w14:textId="77777777" w:rsidR="001A75CB" w:rsidRPr="001A75CB" w:rsidRDefault="001A75CB" w:rsidP="001A75CB">
      <w:pPr>
        <w:snapToGrid w:val="0"/>
        <w:rPr>
          <w:bCs/>
          <w:i/>
          <w:iCs/>
        </w:rPr>
      </w:pPr>
    </w:p>
    <w:p w14:paraId="311C4AFA" w14:textId="5AA06A34" w:rsidR="001A75CB" w:rsidRDefault="001A75CB" w:rsidP="001A75CB">
      <w:pPr>
        <w:snapToGrid w:val="0"/>
        <w:ind w:left="1440"/>
        <w:rPr>
          <w:bCs/>
          <w:i/>
          <w:iCs/>
        </w:rPr>
      </w:pPr>
      <w:r w:rsidRPr="001A75CB">
        <w:rPr>
          <w:bCs/>
        </w:rPr>
        <w:t>5)</w:t>
      </w:r>
      <w:r w:rsidRPr="001A75CB">
        <w:rPr>
          <w:bCs/>
        </w:rPr>
        <w:tab/>
      </w:r>
      <w:r w:rsidRPr="001A75CB">
        <w:rPr>
          <w:bCs/>
          <w:i/>
          <w:iCs/>
        </w:rPr>
        <w:t>consent procedures</w:t>
      </w:r>
      <w:r w:rsidR="00BB1E54">
        <w:rPr>
          <w:bCs/>
          <w:i/>
          <w:iCs/>
        </w:rPr>
        <w:t xml:space="preserve">; and </w:t>
      </w:r>
    </w:p>
    <w:p w14:paraId="571742C0" w14:textId="3268B53D" w:rsidR="00BB1E54" w:rsidRDefault="00BB1E54" w:rsidP="008D74DF">
      <w:pPr>
        <w:snapToGrid w:val="0"/>
        <w:rPr>
          <w:bCs/>
        </w:rPr>
      </w:pPr>
    </w:p>
    <w:p w14:paraId="75FDB7CE" w14:textId="57D92ED5" w:rsidR="00BB1E54" w:rsidRPr="001A75CB" w:rsidRDefault="00BB1E54" w:rsidP="001A75CB">
      <w:pPr>
        <w:snapToGrid w:val="0"/>
        <w:ind w:left="1440"/>
        <w:rPr>
          <w:bCs/>
        </w:rPr>
      </w:pPr>
      <w:r>
        <w:rPr>
          <w:bCs/>
        </w:rPr>
        <w:t>6)</w:t>
      </w:r>
      <w:r>
        <w:rPr>
          <w:bCs/>
        </w:rPr>
        <w:tab/>
        <w:t>providing safe and affirming care to support the youth in care.</w:t>
      </w:r>
    </w:p>
    <w:p w14:paraId="25752D91" w14:textId="77777777" w:rsidR="001A75CB" w:rsidRPr="001A75CB" w:rsidRDefault="001A75CB" w:rsidP="001A75CB">
      <w:pPr>
        <w:snapToGrid w:val="0"/>
        <w:rPr>
          <w:bCs/>
        </w:rPr>
      </w:pPr>
    </w:p>
    <w:p w14:paraId="1B61D7DD" w14:textId="77777777" w:rsidR="001A75CB" w:rsidRPr="001A75CB" w:rsidRDefault="001A75CB" w:rsidP="001A75CB">
      <w:pPr>
        <w:snapToGrid w:val="0"/>
        <w:ind w:left="720"/>
        <w:rPr>
          <w:bCs/>
        </w:rPr>
      </w:pPr>
      <w:r w:rsidRPr="001A75CB">
        <w:rPr>
          <w:bCs/>
        </w:rPr>
        <w:t>d)</w:t>
      </w:r>
      <w:r w:rsidRPr="001A75CB">
        <w:rPr>
          <w:bCs/>
        </w:rPr>
        <w:tab/>
      </w:r>
      <w:r w:rsidRPr="001A75CB">
        <w:rPr>
          <w:bCs/>
          <w:i/>
          <w:iCs/>
        </w:rPr>
        <w:t>assistance available to the certified relative caregivers, including</w:t>
      </w:r>
      <w:r w:rsidRPr="001A75CB">
        <w:rPr>
          <w:bCs/>
        </w:rPr>
        <w:t>:</w:t>
      </w:r>
    </w:p>
    <w:p w14:paraId="13A2F801" w14:textId="77777777" w:rsidR="001A75CB" w:rsidRPr="001A75CB" w:rsidRDefault="001A75CB" w:rsidP="001A75CB">
      <w:pPr>
        <w:snapToGrid w:val="0"/>
        <w:rPr>
          <w:bCs/>
        </w:rPr>
      </w:pPr>
    </w:p>
    <w:p w14:paraId="6E10F31C" w14:textId="77777777" w:rsidR="001A75CB" w:rsidRPr="001A75CB" w:rsidRDefault="001A75CB" w:rsidP="001A75CB">
      <w:pPr>
        <w:snapToGrid w:val="0"/>
        <w:ind w:left="1440"/>
        <w:rPr>
          <w:bCs/>
        </w:rPr>
      </w:pPr>
      <w:r w:rsidRPr="001A75CB">
        <w:rPr>
          <w:bCs/>
        </w:rPr>
        <w:t>1)</w:t>
      </w:r>
      <w:r w:rsidRPr="001A75CB">
        <w:rPr>
          <w:bCs/>
        </w:rPr>
        <w:tab/>
      </w:r>
      <w:r w:rsidRPr="001A75CB">
        <w:rPr>
          <w:bCs/>
          <w:i/>
          <w:iCs/>
        </w:rPr>
        <w:t>child care</w:t>
      </w:r>
      <w:r w:rsidRPr="001A75CB">
        <w:rPr>
          <w:bCs/>
        </w:rPr>
        <w:t>;</w:t>
      </w:r>
    </w:p>
    <w:p w14:paraId="1B4B7495" w14:textId="77777777" w:rsidR="001A75CB" w:rsidRPr="001A75CB" w:rsidRDefault="001A75CB" w:rsidP="001A75CB">
      <w:pPr>
        <w:snapToGrid w:val="0"/>
        <w:rPr>
          <w:bCs/>
        </w:rPr>
      </w:pPr>
    </w:p>
    <w:p w14:paraId="38C431E6" w14:textId="77777777" w:rsidR="001A75CB" w:rsidRPr="001A75CB" w:rsidRDefault="001A75CB" w:rsidP="001A75CB">
      <w:pPr>
        <w:snapToGrid w:val="0"/>
        <w:ind w:left="1440"/>
        <w:rPr>
          <w:bCs/>
        </w:rPr>
      </w:pPr>
      <w:r w:rsidRPr="001A75CB">
        <w:rPr>
          <w:bCs/>
        </w:rPr>
        <w:t>2)</w:t>
      </w:r>
      <w:r w:rsidRPr="001A75CB">
        <w:rPr>
          <w:bCs/>
        </w:rPr>
        <w:tab/>
      </w:r>
      <w:r w:rsidRPr="001A75CB">
        <w:rPr>
          <w:bCs/>
          <w:i/>
          <w:iCs/>
        </w:rPr>
        <w:t>respite care</w:t>
      </w:r>
      <w:r w:rsidRPr="001A75CB">
        <w:rPr>
          <w:bCs/>
        </w:rPr>
        <w:t>;</w:t>
      </w:r>
    </w:p>
    <w:p w14:paraId="59BB201E" w14:textId="77777777" w:rsidR="001A75CB" w:rsidRPr="001A75CB" w:rsidRDefault="001A75CB" w:rsidP="001A75CB">
      <w:pPr>
        <w:snapToGrid w:val="0"/>
        <w:rPr>
          <w:bCs/>
        </w:rPr>
      </w:pPr>
    </w:p>
    <w:p w14:paraId="7ACBF763" w14:textId="77777777" w:rsidR="001A75CB" w:rsidRPr="001A75CB" w:rsidRDefault="001A75CB" w:rsidP="001A75CB">
      <w:pPr>
        <w:snapToGrid w:val="0"/>
        <w:ind w:left="1440"/>
        <w:rPr>
          <w:bCs/>
        </w:rPr>
      </w:pPr>
      <w:r w:rsidRPr="001A75CB">
        <w:rPr>
          <w:bCs/>
        </w:rPr>
        <w:t>3)</w:t>
      </w:r>
      <w:r w:rsidRPr="001A75CB">
        <w:rPr>
          <w:bCs/>
        </w:rPr>
        <w:tab/>
      </w:r>
      <w:r w:rsidRPr="001A75CB">
        <w:rPr>
          <w:bCs/>
          <w:i/>
          <w:iCs/>
        </w:rPr>
        <w:t>transportation assistance</w:t>
      </w:r>
      <w:r w:rsidRPr="001A75CB">
        <w:rPr>
          <w:bCs/>
        </w:rPr>
        <w:t>;</w:t>
      </w:r>
    </w:p>
    <w:p w14:paraId="7DDE7EA8" w14:textId="77777777" w:rsidR="001A75CB" w:rsidRPr="001A75CB" w:rsidRDefault="001A75CB" w:rsidP="001A75CB">
      <w:pPr>
        <w:snapToGrid w:val="0"/>
        <w:rPr>
          <w:bCs/>
        </w:rPr>
      </w:pPr>
    </w:p>
    <w:p w14:paraId="5BADF03C" w14:textId="77777777" w:rsidR="001A75CB" w:rsidRPr="001A75CB" w:rsidRDefault="001A75CB" w:rsidP="001A75CB">
      <w:pPr>
        <w:snapToGrid w:val="0"/>
        <w:ind w:left="1440"/>
        <w:rPr>
          <w:bCs/>
        </w:rPr>
      </w:pPr>
      <w:r w:rsidRPr="001A75CB">
        <w:rPr>
          <w:bCs/>
        </w:rPr>
        <w:t>4)</w:t>
      </w:r>
      <w:r w:rsidRPr="001A75CB">
        <w:rPr>
          <w:bCs/>
        </w:rPr>
        <w:tab/>
      </w:r>
      <w:r w:rsidRPr="001A75CB">
        <w:rPr>
          <w:bCs/>
          <w:i/>
          <w:iCs/>
        </w:rPr>
        <w:t>case management</w:t>
      </w:r>
      <w:r w:rsidRPr="001A75CB">
        <w:rPr>
          <w:bCs/>
        </w:rPr>
        <w:t>;</w:t>
      </w:r>
    </w:p>
    <w:p w14:paraId="3AE61BB8" w14:textId="77777777" w:rsidR="001A75CB" w:rsidRPr="001A75CB" w:rsidRDefault="001A75CB" w:rsidP="001A75CB">
      <w:pPr>
        <w:snapToGrid w:val="0"/>
        <w:rPr>
          <w:bCs/>
        </w:rPr>
      </w:pPr>
    </w:p>
    <w:p w14:paraId="28C2273B" w14:textId="77777777" w:rsidR="001A75CB" w:rsidRPr="001A75CB" w:rsidRDefault="001A75CB" w:rsidP="001A75CB">
      <w:pPr>
        <w:snapToGrid w:val="0"/>
        <w:ind w:left="1440"/>
        <w:rPr>
          <w:bCs/>
        </w:rPr>
      </w:pPr>
      <w:r w:rsidRPr="001A75CB">
        <w:rPr>
          <w:bCs/>
        </w:rPr>
        <w:t>5)</w:t>
      </w:r>
      <w:r w:rsidRPr="001A75CB">
        <w:rPr>
          <w:bCs/>
        </w:rPr>
        <w:tab/>
      </w:r>
      <w:r w:rsidRPr="001A75CB">
        <w:rPr>
          <w:bCs/>
          <w:i/>
          <w:iCs/>
        </w:rPr>
        <w:t>training and support groups</w:t>
      </w:r>
      <w:r w:rsidRPr="001A75CB">
        <w:rPr>
          <w:bCs/>
        </w:rPr>
        <w:t>;</w:t>
      </w:r>
    </w:p>
    <w:p w14:paraId="3B67BD8D" w14:textId="77777777" w:rsidR="001A75CB" w:rsidRPr="001A75CB" w:rsidRDefault="001A75CB" w:rsidP="001A75CB">
      <w:pPr>
        <w:snapToGrid w:val="0"/>
        <w:rPr>
          <w:bCs/>
          <w:i/>
          <w:iCs/>
        </w:rPr>
      </w:pPr>
    </w:p>
    <w:p w14:paraId="15DFB021" w14:textId="77777777" w:rsidR="001A75CB" w:rsidRPr="001A75CB" w:rsidRDefault="001A75CB" w:rsidP="001A75CB">
      <w:pPr>
        <w:snapToGrid w:val="0"/>
        <w:ind w:left="1440"/>
        <w:rPr>
          <w:bCs/>
        </w:rPr>
      </w:pPr>
      <w:r w:rsidRPr="001A75CB">
        <w:rPr>
          <w:bCs/>
        </w:rPr>
        <w:t>6)</w:t>
      </w:r>
      <w:r w:rsidRPr="001A75CB">
        <w:rPr>
          <w:bCs/>
        </w:rPr>
        <w:tab/>
      </w:r>
      <w:r w:rsidRPr="001A75CB">
        <w:rPr>
          <w:bCs/>
          <w:i/>
          <w:iCs/>
        </w:rPr>
        <w:t>kinship navigator services</w:t>
      </w:r>
      <w:r w:rsidRPr="001A75CB">
        <w:rPr>
          <w:bCs/>
        </w:rPr>
        <w:t>;</w:t>
      </w:r>
    </w:p>
    <w:p w14:paraId="417496AA" w14:textId="77777777" w:rsidR="001A75CB" w:rsidRPr="001A75CB" w:rsidRDefault="001A75CB" w:rsidP="001A75CB">
      <w:pPr>
        <w:snapToGrid w:val="0"/>
        <w:rPr>
          <w:bCs/>
        </w:rPr>
      </w:pPr>
    </w:p>
    <w:p w14:paraId="30C4C5D6" w14:textId="77777777" w:rsidR="001A75CB" w:rsidRPr="001A75CB" w:rsidRDefault="001A75CB" w:rsidP="001A75CB">
      <w:pPr>
        <w:snapToGrid w:val="0"/>
        <w:ind w:left="1440"/>
        <w:rPr>
          <w:bCs/>
        </w:rPr>
      </w:pPr>
      <w:r w:rsidRPr="001A75CB">
        <w:rPr>
          <w:bCs/>
        </w:rPr>
        <w:t>7)</w:t>
      </w:r>
      <w:r w:rsidRPr="001A75CB">
        <w:rPr>
          <w:bCs/>
        </w:rPr>
        <w:tab/>
      </w:r>
      <w:r w:rsidRPr="001A75CB">
        <w:rPr>
          <w:bCs/>
          <w:i/>
          <w:iCs/>
        </w:rPr>
        <w:t>financial assistance</w:t>
      </w:r>
      <w:r w:rsidRPr="001A75CB">
        <w:rPr>
          <w:bCs/>
        </w:rPr>
        <w:t>; and</w:t>
      </w:r>
    </w:p>
    <w:p w14:paraId="07E66090" w14:textId="77777777" w:rsidR="001A75CB" w:rsidRPr="001A75CB" w:rsidRDefault="001A75CB" w:rsidP="001A75CB">
      <w:pPr>
        <w:snapToGrid w:val="0"/>
        <w:rPr>
          <w:bCs/>
        </w:rPr>
      </w:pPr>
    </w:p>
    <w:p w14:paraId="2C13222C" w14:textId="77777777" w:rsidR="001A75CB" w:rsidRPr="001A75CB" w:rsidRDefault="001A75CB" w:rsidP="001A75CB">
      <w:pPr>
        <w:snapToGrid w:val="0"/>
        <w:ind w:left="2160" w:hanging="720"/>
        <w:rPr>
          <w:bCs/>
        </w:rPr>
      </w:pPr>
      <w:r w:rsidRPr="001A75CB">
        <w:rPr>
          <w:bCs/>
        </w:rPr>
        <w:lastRenderedPageBreak/>
        <w:t>8)</w:t>
      </w:r>
      <w:r w:rsidRPr="001A75CB">
        <w:rPr>
          <w:bCs/>
        </w:rPr>
        <w:tab/>
      </w:r>
      <w:r w:rsidRPr="001A75CB">
        <w:rPr>
          <w:bCs/>
          <w:i/>
          <w:iCs/>
        </w:rPr>
        <w:t>after hours and weekend 24 hours, 7 days a week emergency supports, and how to access such assistance</w:t>
      </w:r>
      <w:r w:rsidRPr="001A75CB">
        <w:rPr>
          <w:bCs/>
        </w:rPr>
        <w:t>.</w:t>
      </w:r>
    </w:p>
    <w:p w14:paraId="7512ABC0" w14:textId="77777777" w:rsidR="001A75CB" w:rsidRPr="001A75CB" w:rsidRDefault="001A75CB" w:rsidP="001A75CB">
      <w:pPr>
        <w:snapToGrid w:val="0"/>
        <w:rPr>
          <w:bCs/>
        </w:rPr>
      </w:pPr>
    </w:p>
    <w:p w14:paraId="6853E6AC" w14:textId="1FC3BDBB" w:rsidR="001A75CB" w:rsidRPr="001A75CB" w:rsidRDefault="001A75CB" w:rsidP="001A75CB">
      <w:pPr>
        <w:snapToGrid w:val="0"/>
        <w:ind w:left="1440" w:hanging="720"/>
        <w:rPr>
          <w:bCs/>
        </w:rPr>
      </w:pPr>
      <w:r w:rsidRPr="001A75CB">
        <w:rPr>
          <w:bCs/>
        </w:rPr>
        <w:t>e)</w:t>
      </w:r>
      <w:r w:rsidRPr="001A75CB">
        <w:rPr>
          <w:bCs/>
        </w:rPr>
        <w:tab/>
        <w:t xml:space="preserve">the expectation of using normalcy parenting and the reasonable prudent parent standard. Relative caregivers are expected to use normalcy parenting and the reasonable prudent parent standard </w:t>
      </w:r>
      <w:r w:rsidR="006B7990">
        <w:rPr>
          <w:bCs/>
        </w:rPr>
        <w:t xml:space="preserve">as described in 20 </w:t>
      </w:r>
      <w:proofErr w:type="spellStart"/>
      <w:r w:rsidR="006B7990">
        <w:rPr>
          <w:bCs/>
        </w:rPr>
        <w:t>ILCS</w:t>
      </w:r>
      <w:proofErr w:type="spellEnd"/>
      <w:r w:rsidR="006B7990">
        <w:rPr>
          <w:bCs/>
        </w:rPr>
        <w:t xml:space="preserve"> 505/</w:t>
      </w:r>
      <w:proofErr w:type="spellStart"/>
      <w:r w:rsidR="006B7990">
        <w:rPr>
          <w:bCs/>
        </w:rPr>
        <w:t>7.3a</w:t>
      </w:r>
      <w:proofErr w:type="spellEnd"/>
      <w:r w:rsidR="006B7990">
        <w:rPr>
          <w:bCs/>
        </w:rPr>
        <w:t xml:space="preserve"> </w:t>
      </w:r>
      <w:r w:rsidRPr="001A75CB">
        <w:rPr>
          <w:bCs/>
        </w:rPr>
        <w:t>for decision making regarding the youth in care</w:t>
      </w:r>
      <w:r w:rsidR="002538E9">
        <w:rPr>
          <w:bCs/>
        </w:rPr>
        <w:t>'</w:t>
      </w:r>
      <w:r w:rsidRPr="001A75CB">
        <w:rPr>
          <w:bCs/>
        </w:rPr>
        <w:t>s participation in extracurricular, cultural, and social activities that are appropriate for the youth in care</w:t>
      </w:r>
      <w:r w:rsidR="007E4F0D">
        <w:rPr>
          <w:bCs/>
        </w:rPr>
        <w:t>'</w:t>
      </w:r>
      <w:r w:rsidRPr="001A75CB">
        <w:rPr>
          <w:bCs/>
        </w:rPr>
        <w:t>s normal growth and development and enrichment; and</w:t>
      </w:r>
    </w:p>
    <w:p w14:paraId="75C5537C" w14:textId="77777777" w:rsidR="001A75CB" w:rsidRPr="001A75CB" w:rsidRDefault="001A75CB" w:rsidP="001A75CB">
      <w:pPr>
        <w:snapToGrid w:val="0"/>
        <w:rPr>
          <w:bCs/>
        </w:rPr>
      </w:pPr>
    </w:p>
    <w:p w14:paraId="2E20B7AE" w14:textId="77777777" w:rsidR="001A75CB" w:rsidRPr="001A75CB" w:rsidRDefault="001A75CB" w:rsidP="001A75CB">
      <w:pPr>
        <w:snapToGrid w:val="0"/>
        <w:ind w:left="720"/>
        <w:rPr>
          <w:bCs/>
          <w:i/>
          <w:iCs/>
        </w:rPr>
      </w:pPr>
      <w:r w:rsidRPr="001A75CB">
        <w:rPr>
          <w:bCs/>
        </w:rPr>
        <w:t>f)</w:t>
      </w:r>
      <w:r w:rsidRPr="001A75CB">
        <w:rPr>
          <w:bCs/>
        </w:rPr>
        <w:tab/>
      </w:r>
      <w:r w:rsidRPr="001A75CB">
        <w:rPr>
          <w:bCs/>
          <w:i/>
          <w:iCs/>
        </w:rPr>
        <w:t>permanency options.</w:t>
      </w:r>
    </w:p>
    <w:p w14:paraId="38335CF6" w14:textId="77777777" w:rsidR="001A75CB" w:rsidRPr="001A75CB" w:rsidRDefault="001A75CB" w:rsidP="001A75CB">
      <w:pPr>
        <w:snapToGrid w:val="0"/>
        <w:rPr>
          <w:bCs/>
          <w:i/>
          <w:iCs/>
        </w:rPr>
      </w:pPr>
    </w:p>
    <w:p w14:paraId="25821F89" w14:textId="5B979A8C" w:rsidR="001A75CB" w:rsidRPr="001A75CB" w:rsidRDefault="006B7990" w:rsidP="006B7990">
      <w:pPr>
        <w:snapToGrid w:val="0"/>
        <w:ind w:left="1440" w:hanging="720"/>
        <w:rPr>
          <w:b/>
          <w:bCs/>
          <w:szCs w:val="20"/>
        </w:rPr>
      </w:pPr>
      <w:r>
        <w:rPr>
          <w:szCs w:val="20"/>
        </w:rPr>
        <w:t>g)</w:t>
      </w:r>
      <w:r>
        <w:rPr>
          <w:szCs w:val="20"/>
        </w:rPr>
        <w:tab/>
      </w:r>
      <w:r w:rsidR="001A75CB" w:rsidRPr="001A75CB">
        <w:rPr>
          <w:szCs w:val="20"/>
        </w:rPr>
        <w:t xml:space="preserve">All adults who reside in the home shall receive orientation in a manner and location that is convenient for them. The options offered shall include, but are not limited to, one-on-one sessions held at the residence after business hours in the caregivers' preferred language. Residents of certified relative caregiver homes shall be provided with training opportunities. Training shall not be required and shall not cause a delay in the certification process for certified relative caregiver homes. [225 </w:t>
      </w:r>
      <w:proofErr w:type="spellStart"/>
      <w:r w:rsidR="001A75CB" w:rsidRPr="001A75CB">
        <w:rPr>
          <w:szCs w:val="20"/>
        </w:rPr>
        <w:t>ILCS</w:t>
      </w:r>
      <w:proofErr w:type="spellEnd"/>
      <w:r w:rsidR="001A75CB" w:rsidRPr="001A75CB">
        <w:rPr>
          <w:szCs w:val="20"/>
        </w:rPr>
        <w:t xml:space="preserve"> 10/3.4(e)]</w:t>
      </w:r>
    </w:p>
    <w:sectPr w:rsidR="001A75CB" w:rsidRPr="001A75C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36E3C" w14:textId="77777777" w:rsidR="001A75CB" w:rsidRDefault="001A75CB">
      <w:r>
        <w:separator/>
      </w:r>
    </w:p>
  </w:endnote>
  <w:endnote w:type="continuationSeparator" w:id="0">
    <w:p w14:paraId="118E6E35" w14:textId="77777777" w:rsidR="001A75CB" w:rsidRDefault="001A7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CBAD" w14:textId="77777777" w:rsidR="001A75CB" w:rsidRDefault="001A75CB">
      <w:r>
        <w:separator/>
      </w:r>
    </w:p>
  </w:footnote>
  <w:footnote w:type="continuationSeparator" w:id="0">
    <w:p w14:paraId="0ACCCA2C" w14:textId="77777777" w:rsidR="001A75CB" w:rsidRDefault="001A75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5C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A75C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38E9"/>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B7990"/>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4F0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D74DF"/>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1E54"/>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A4434"/>
  <w15:chartTrackingRefBased/>
  <w15:docId w15:val="{331751FE-A2EA-49BC-B839-5AA59B01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0551021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331</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2025-03-17T19:22:00Z</dcterms:created>
  <dcterms:modified xsi:type="dcterms:W3CDTF">2025-07-18T12:57:00Z</dcterms:modified>
</cp:coreProperties>
</file>