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6A" w:rsidRDefault="00FC3A6A" w:rsidP="00FC3A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A6A" w:rsidRDefault="00FC3A6A" w:rsidP="00FC3A6A">
      <w:pPr>
        <w:widowControl w:val="0"/>
        <w:autoSpaceDE w:val="0"/>
        <w:autoSpaceDN w:val="0"/>
        <w:adjustRightInd w:val="0"/>
        <w:jc w:val="center"/>
      </w:pPr>
      <w:r>
        <w:t>SUBPART A:  PRINCIPLES OF PERMANENCY PLANNING</w:t>
      </w:r>
    </w:p>
    <w:sectPr w:rsidR="00FC3A6A" w:rsidSect="00FC3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A6A"/>
    <w:rsid w:val="003D5CC7"/>
    <w:rsid w:val="005C3366"/>
    <w:rsid w:val="00D30FB4"/>
    <w:rsid w:val="00D831AD"/>
    <w:rsid w:val="00F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PRINCIPLES OF PERMANENCY PLANNING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PRINCIPLES OF PERMANENCY PLANNING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