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88" w:rsidRDefault="00074988" w:rsidP="000749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988" w:rsidRDefault="00074988" w:rsidP="000749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306.1  Purpose</w:t>
      </w:r>
      <w:r>
        <w:t xml:space="preserve"> </w:t>
      </w:r>
    </w:p>
    <w:p w:rsidR="00074988" w:rsidRDefault="00074988" w:rsidP="00074988">
      <w:pPr>
        <w:widowControl w:val="0"/>
        <w:autoSpaceDE w:val="0"/>
        <w:autoSpaceDN w:val="0"/>
        <w:adjustRightInd w:val="0"/>
      </w:pPr>
    </w:p>
    <w:p w:rsidR="00074988" w:rsidRDefault="00074988" w:rsidP="00074988">
      <w:pPr>
        <w:widowControl w:val="0"/>
        <w:autoSpaceDE w:val="0"/>
        <w:autoSpaceDN w:val="0"/>
        <w:adjustRightInd w:val="0"/>
      </w:pPr>
      <w:r>
        <w:t xml:space="preserve">The purpose of these rules is to explain when the Department will no longer provide child welfare services or be involved with children and families. </w:t>
      </w:r>
    </w:p>
    <w:sectPr w:rsidR="00074988" w:rsidSect="000749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988"/>
    <w:rsid w:val="00074988"/>
    <w:rsid w:val="002D26FA"/>
    <w:rsid w:val="00392306"/>
    <w:rsid w:val="005C3366"/>
    <w:rsid w:val="00E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