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250" w:rsidRDefault="00983250" w:rsidP="00983250">
      <w:pPr>
        <w:widowControl w:val="0"/>
        <w:autoSpaceDE w:val="0"/>
        <w:autoSpaceDN w:val="0"/>
        <w:adjustRightInd w:val="0"/>
      </w:pPr>
      <w:bookmarkStart w:id="0" w:name="_GoBack"/>
      <w:bookmarkEnd w:id="0"/>
    </w:p>
    <w:p w:rsidR="00983250" w:rsidRDefault="00983250" w:rsidP="00983250">
      <w:pPr>
        <w:widowControl w:val="0"/>
        <w:autoSpaceDE w:val="0"/>
        <w:autoSpaceDN w:val="0"/>
        <w:adjustRightInd w:val="0"/>
      </w:pPr>
      <w:r>
        <w:rPr>
          <w:b/>
          <w:bCs/>
        </w:rPr>
        <w:t>Section 300.90  Time Frames for the Investigation</w:t>
      </w:r>
      <w:r>
        <w:t xml:space="preserve"> </w:t>
      </w:r>
    </w:p>
    <w:p w:rsidR="00983250" w:rsidRDefault="00983250" w:rsidP="00983250">
      <w:pPr>
        <w:widowControl w:val="0"/>
        <w:autoSpaceDE w:val="0"/>
        <w:autoSpaceDN w:val="0"/>
        <w:adjustRightInd w:val="0"/>
      </w:pPr>
    </w:p>
    <w:p w:rsidR="00983250" w:rsidRDefault="00983250" w:rsidP="00983250">
      <w:pPr>
        <w:widowControl w:val="0"/>
        <w:autoSpaceDE w:val="0"/>
        <w:autoSpaceDN w:val="0"/>
        <w:adjustRightInd w:val="0"/>
      </w:pPr>
      <w:r>
        <w:t xml:space="preserve">The following activities must be completed within the time frames indicated, except as exempted in Section 300.110(d).  The time the report was received at the State Central Register begins the investigative process. </w:t>
      </w:r>
    </w:p>
    <w:p w:rsidR="003915C4" w:rsidRDefault="003915C4" w:rsidP="00983250">
      <w:pPr>
        <w:widowControl w:val="0"/>
        <w:autoSpaceDE w:val="0"/>
        <w:autoSpaceDN w:val="0"/>
        <w:adjustRightInd w:val="0"/>
      </w:pPr>
    </w:p>
    <w:tbl>
      <w:tblPr>
        <w:tblW w:w="0" w:type="auto"/>
        <w:tblInd w:w="621" w:type="dxa"/>
        <w:tblLook w:val="0000" w:firstRow="0" w:lastRow="0" w:firstColumn="0" w:lastColumn="0" w:noHBand="0" w:noVBand="0"/>
      </w:tblPr>
      <w:tblGrid>
        <w:gridCol w:w="7524"/>
        <w:gridCol w:w="1431"/>
      </w:tblGrid>
      <w:tr w:rsidR="00432F09">
        <w:tblPrEx>
          <w:tblCellMar>
            <w:top w:w="0" w:type="dxa"/>
            <w:bottom w:w="0" w:type="dxa"/>
          </w:tblCellMar>
        </w:tblPrEx>
        <w:tc>
          <w:tcPr>
            <w:tcW w:w="7524" w:type="dxa"/>
          </w:tcPr>
          <w:p w:rsidR="00432F09" w:rsidRDefault="00432F09" w:rsidP="00432F09">
            <w:pPr>
              <w:widowControl w:val="0"/>
              <w:autoSpaceDE w:val="0"/>
              <w:autoSpaceDN w:val="0"/>
              <w:adjustRightInd w:val="0"/>
              <w:ind w:left="729" w:hanging="609"/>
            </w:pPr>
            <w:r>
              <w:t>a)</w:t>
            </w:r>
            <w:r>
              <w:tab/>
              <w:t>In-person contact with alleged child victim or in-person examination of the environment for inadequate shelter and environmental neglect reports only or in-person contact with mothers of infants who are hospitalized with controlled substances in their systems.  Contact with mother of hospitalized infants shall be in the environment in which the mother intends to reside with the infant.  Good faith attempt/Begin the initial investigation.  The investigation shall begin immediately if the child is believed to be in immediate danger of physical harm or it is likely that the family may flee with the child.</w:t>
            </w:r>
          </w:p>
        </w:tc>
        <w:tc>
          <w:tcPr>
            <w:tcW w:w="1431" w:type="dxa"/>
          </w:tcPr>
          <w:p w:rsidR="00432F09" w:rsidRDefault="00432F09" w:rsidP="00983250">
            <w:pPr>
              <w:widowControl w:val="0"/>
              <w:autoSpaceDE w:val="0"/>
              <w:autoSpaceDN w:val="0"/>
              <w:adjustRightInd w:val="0"/>
            </w:pPr>
            <w:r>
              <w:t>24 hours</w:t>
            </w:r>
          </w:p>
        </w:tc>
      </w:tr>
      <w:tr w:rsidR="003915C4">
        <w:tblPrEx>
          <w:tblCellMar>
            <w:top w:w="0" w:type="dxa"/>
            <w:bottom w:w="0" w:type="dxa"/>
          </w:tblCellMar>
        </w:tblPrEx>
        <w:tc>
          <w:tcPr>
            <w:tcW w:w="7524" w:type="dxa"/>
          </w:tcPr>
          <w:p w:rsidR="003915C4" w:rsidRDefault="003915C4" w:rsidP="00432F09">
            <w:pPr>
              <w:widowControl w:val="0"/>
              <w:autoSpaceDE w:val="0"/>
              <w:autoSpaceDN w:val="0"/>
              <w:adjustRightInd w:val="0"/>
              <w:ind w:left="729" w:hanging="609"/>
            </w:pPr>
          </w:p>
        </w:tc>
        <w:tc>
          <w:tcPr>
            <w:tcW w:w="1431" w:type="dxa"/>
          </w:tcPr>
          <w:p w:rsidR="003915C4" w:rsidRDefault="003915C4" w:rsidP="00983250">
            <w:pPr>
              <w:widowControl w:val="0"/>
              <w:autoSpaceDE w:val="0"/>
              <w:autoSpaceDN w:val="0"/>
              <w:adjustRightInd w:val="0"/>
            </w:pPr>
          </w:p>
        </w:tc>
      </w:tr>
      <w:tr w:rsidR="00432F09">
        <w:tblPrEx>
          <w:tblCellMar>
            <w:top w:w="0" w:type="dxa"/>
            <w:bottom w:w="0" w:type="dxa"/>
          </w:tblCellMar>
        </w:tblPrEx>
        <w:tc>
          <w:tcPr>
            <w:tcW w:w="7524" w:type="dxa"/>
          </w:tcPr>
          <w:p w:rsidR="00432F09" w:rsidRDefault="00432F09" w:rsidP="00432F09">
            <w:pPr>
              <w:widowControl w:val="0"/>
              <w:autoSpaceDE w:val="0"/>
              <w:autoSpaceDN w:val="0"/>
              <w:adjustRightInd w:val="0"/>
              <w:ind w:left="684" w:hanging="564"/>
            </w:pPr>
            <w:r>
              <w:t>b)</w:t>
            </w:r>
            <w:r>
              <w:tab/>
              <w:t xml:space="preserve">In-person contacts with the alleged perpetrator, the children's caretaker and the alleged child victim if not completed sooner </w:t>
            </w:r>
          </w:p>
        </w:tc>
        <w:tc>
          <w:tcPr>
            <w:tcW w:w="1431" w:type="dxa"/>
          </w:tcPr>
          <w:p w:rsidR="00432F09" w:rsidRDefault="00432F09" w:rsidP="00983250">
            <w:pPr>
              <w:widowControl w:val="0"/>
              <w:autoSpaceDE w:val="0"/>
              <w:autoSpaceDN w:val="0"/>
              <w:adjustRightInd w:val="0"/>
            </w:pPr>
            <w:r>
              <w:t>7 days</w:t>
            </w:r>
          </w:p>
        </w:tc>
      </w:tr>
      <w:tr w:rsidR="003915C4">
        <w:tblPrEx>
          <w:tblCellMar>
            <w:top w:w="0" w:type="dxa"/>
            <w:bottom w:w="0" w:type="dxa"/>
          </w:tblCellMar>
        </w:tblPrEx>
        <w:tc>
          <w:tcPr>
            <w:tcW w:w="7524" w:type="dxa"/>
          </w:tcPr>
          <w:p w:rsidR="003915C4" w:rsidRDefault="003915C4" w:rsidP="00432F09">
            <w:pPr>
              <w:widowControl w:val="0"/>
              <w:autoSpaceDE w:val="0"/>
              <w:autoSpaceDN w:val="0"/>
              <w:adjustRightInd w:val="0"/>
              <w:ind w:left="684" w:hanging="564"/>
            </w:pPr>
          </w:p>
        </w:tc>
        <w:tc>
          <w:tcPr>
            <w:tcW w:w="1431" w:type="dxa"/>
          </w:tcPr>
          <w:p w:rsidR="003915C4" w:rsidRDefault="003915C4" w:rsidP="00983250">
            <w:pPr>
              <w:widowControl w:val="0"/>
              <w:autoSpaceDE w:val="0"/>
              <w:autoSpaceDN w:val="0"/>
              <w:adjustRightInd w:val="0"/>
            </w:pPr>
          </w:p>
        </w:tc>
      </w:tr>
      <w:tr w:rsidR="00432F09">
        <w:tblPrEx>
          <w:tblCellMar>
            <w:top w:w="0" w:type="dxa"/>
            <w:bottom w:w="0" w:type="dxa"/>
          </w:tblCellMar>
        </w:tblPrEx>
        <w:tc>
          <w:tcPr>
            <w:tcW w:w="7524" w:type="dxa"/>
          </w:tcPr>
          <w:p w:rsidR="00432F09" w:rsidRDefault="00432F09" w:rsidP="00432F09">
            <w:pPr>
              <w:widowControl w:val="0"/>
              <w:autoSpaceDE w:val="0"/>
              <w:autoSpaceDN w:val="0"/>
              <w:adjustRightInd w:val="0"/>
              <w:ind w:firstLine="120"/>
            </w:pPr>
            <w:r>
              <w:t>c)</w:t>
            </w:r>
            <w:r>
              <w:tab/>
              <w:t>Begins the Formal Investigation (Written)</w:t>
            </w:r>
          </w:p>
        </w:tc>
        <w:tc>
          <w:tcPr>
            <w:tcW w:w="1431" w:type="dxa"/>
          </w:tcPr>
          <w:p w:rsidR="00432F09" w:rsidRDefault="00432F09" w:rsidP="00983250">
            <w:pPr>
              <w:widowControl w:val="0"/>
              <w:autoSpaceDE w:val="0"/>
              <w:autoSpaceDN w:val="0"/>
              <w:adjustRightInd w:val="0"/>
            </w:pPr>
            <w:r>
              <w:t>14 days</w:t>
            </w:r>
          </w:p>
        </w:tc>
      </w:tr>
      <w:tr w:rsidR="003915C4">
        <w:tblPrEx>
          <w:tblCellMar>
            <w:top w:w="0" w:type="dxa"/>
            <w:bottom w:w="0" w:type="dxa"/>
          </w:tblCellMar>
        </w:tblPrEx>
        <w:tc>
          <w:tcPr>
            <w:tcW w:w="7524" w:type="dxa"/>
          </w:tcPr>
          <w:p w:rsidR="003915C4" w:rsidRDefault="003915C4" w:rsidP="00432F09">
            <w:pPr>
              <w:widowControl w:val="0"/>
              <w:autoSpaceDE w:val="0"/>
              <w:autoSpaceDN w:val="0"/>
              <w:adjustRightInd w:val="0"/>
              <w:ind w:firstLine="120"/>
            </w:pPr>
          </w:p>
        </w:tc>
        <w:tc>
          <w:tcPr>
            <w:tcW w:w="1431" w:type="dxa"/>
          </w:tcPr>
          <w:p w:rsidR="003915C4" w:rsidRDefault="003915C4" w:rsidP="00983250">
            <w:pPr>
              <w:widowControl w:val="0"/>
              <w:autoSpaceDE w:val="0"/>
              <w:autoSpaceDN w:val="0"/>
              <w:adjustRightInd w:val="0"/>
            </w:pPr>
          </w:p>
        </w:tc>
      </w:tr>
      <w:tr w:rsidR="00432F09">
        <w:tblPrEx>
          <w:tblCellMar>
            <w:top w:w="0" w:type="dxa"/>
            <w:bottom w:w="0" w:type="dxa"/>
          </w:tblCellMar>
        </w:tblPrEx>
        <w:tc>
          <w:tcPr>
            <w:tcW w:w="7524" w:type="dxa"/>
          </w:tcPr>
          <w:p w:rsidR="00432F09" w:rsidRDefault="00432F09" w:rsidP="00432F09">
            <w:pPr>
              <w:widowControl w:val="0"/>
              <w:autoSpaceDE w:val="0"/>
              <w:autoSpaceDN w:val="0"/>
              <w:adjustRightInd w:val="0"/>
              <w:ind w:firstLine="120"/>
            </w:pPr>
            <w:r>
              <w:t>d)</w:t>
            </w:r>
            <w:r>
              <w:tab/>
              <w:t>Final Investigation Report (Written)</w:t>
            </w:r>
          </w:p>
        </w:tc>
        <w:tc>
          <w:tcPr>
            <w:tcW w:w="1431" w:type="dxa"/>
          </w:tcPr>
          <w:p w:rsidR="00432F09" w:rsidRDefault="00432F09" w:rsidP="00983250">
            <w:pPr>
              <w:widowControl w:val="0"/>
              <w:autoSpaceDE w:val="0"/>
              <w:autoSpaceDN w:val="0"/>
              <w:adjustRightInd w:val="0"/>
            </w:pPr>
            <w:r>
              <w:t>60 days</w:t>
            </w:r>
          </w:p>
        </w:tc>
      </w:tr>
      <w:tr w:rsidR="003915C4">
        <w:tblPrEx>
          <w:tblCellMar>
            <w:top w:w="0" w:type="dxa"/>
            <w:bottom w:w="0" w:type="dxa"/>
          </w:tblCellMar>
        </w:tblPrEx>
        <w:tc>
          <w:tcPr>
            <w:tcW w:w="7524" w:type="dxa"/>
          </w:tcPr>
          <w:p w:rsidR="003915C4" w:rsidRDefault="003915C4" w:rsidP="00432F09">
            <w:pPr>
              <w:widowControl w:val="0"/>
              <w:autoSpaceDE w:val="0"/>
              <w:autoSpaceDN w:val="0"/>
              <w:adjustRightInd w:val="0"/>
              <w:ind w:firstLine="120"/>
            </w:pPr>
          </w:p>
        </w:tc>
        <w:tc>
          <w:tcPr>
            <w:tcW w:w="1431" w:type="dxa"/>
          </w:tcPr>
          <w:p w:rsidR="003915C4" w:rsidRDefault="003915C4" w:rsidP="00983250">
            <w:pPr>
              <w:widowControl w:val="0"/>
              <w:autoSpaceDE w:val="0"/>
              <w:autoSpaceDN w:val="0"/>
              <w:adjustRightInd w:val="0"/>
            </w:pPr>
          </w:p>
        </w:tc>
      </w:tr>
      <w:tr w:rsidR="00432F09">
        <w:tblPrEx>
          <w:tblCellMar>
            <w:top w:w="0" w:type="dxa"/>
            <w:bottom w:w="0" w:type="dxa"/>
          </w:tblCellMar>
        </w:tblPrEx>
        <w:tc>
          <w:tcPr>
            <w:tcW w:w="7524" w:type="dxa"/>
          </w:tcPr>
          <w:p w:rsidR="00432F09" w:rsidRDefault="00432F09" w:rsidP="00432F09">
            <w:pPr>
              <w:widowControl w:val="0"/>
              <w:autoSpaceDE w:val="0"/>
              <w:autoSpaceDN w:val="0"/>
              <w:adjustRightInd w:val="0"/>
              <w:ind w:left="684" w:hanging="564"/>
            </w:pPr>
            <w:r>
              <w:t>e)</w:t>
            </w:r>
            <w:r>
              <w:tab/>
              <w:t>Preliminary Investigation Report – If a 30-day extension to the formal investigation is necessary</w:t>
            </w:r>
          </w:p>
        </w:tc>
        <w:tc>
          <w:tcPr>
            <w:tcW w:w="1431" w:type="dxa"/>
          </w:tcPr>
          <w:p w:rsidR="00432F09" w:rsidRDefault="00432F09" w:rsidP="00983250">
            <w:pPr>
              <w:widowControl w:val="0"/>
              <w:autoSpaceDE w:val="0"/>
              <w:autoSpaceDN w:val="0"/>
              <w:adjustRightInd w:val="0"/>
            </w:pPr>
            <w:r>
              <w:t>60 days</w:t>
            </w:r>
          </w:p>
        </w:tc>
      </w:tr>
    </w:tbl>
    <w:p w:rsidR="00983250" w:rsidRDefault="00983250" w:rsidP="00983250">
      <w:pPr>
        <w:widowControl w:val="0"/>
        <w:autoSpaceDE w:val="0"/>
        <w:autoSpaceDN w:val="0"/>
        <w:adjustRightInd w:val="0"/>
      </w:pPr>
    </w:p>
    <w:p w:rsidR="00983250" w:rsidRDefault="00983250" w:rsidP="00432F09">
      <w:pPr>
        <w:widowControl w:val="0"/>
        <w:autoSpaceDE w:val="0"/>
        <w:autoSpaceDN w:val="0"/>
        <w:adjustRightInd w:val="0"/>
        <w:ind w:left="741" w:hanging="21"/>
      </w:pPr>
      <w:r>
        <w:t xml:space="preserve">(Source:  Amended at 14 Ill. Reg. 19827, effective November 28, 1990) </w:t>
      </w:r>
    </w:p>
    <w:sectPr w:rsidR="00983250" w:rsidSect="0098325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83250"/>
    <w:rsid w:val="00185D39"/>
    <w:rsid w:val="001C5909"/>
    <w:rsid w:val="003915C4"/>
    <w:rsid w:val="00432F09"/>
    <w:rsid w:val="005C3366"/>
    <w:rsid w:val="00983250"/>
    <w:rsid w:val="00D06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1133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1329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Roberts, John</cp:lastModifiedBy>
  <cp:revision>3</cp:revision>
  <dcterms:created xsi:type="dcterms:W3CDTF">2012-06-21T21:37:00Z</dcterms:created>
  <dcterms:modified xsi:type="dcterms:W3CDTF">2012-06-21T21:37:00Z</dcterms:modified>
</cp:coreProperties>
</file>