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83" w:rsidRPr="00C91E83" w:rsidRDefault="00C91E83" w:rsidP="00036B2C"/>
    <w:p w:rsidR="00C91E83" w:rsidRPr="00C91E83" w:rsidRDefault="00C91E83" w:rsidP="00C91E83">
      <w:pPr>
        <w:ind w:left="1440" w:hanging="1440"/>
        <w:rPr>
          <w:b/>
        </w:rPr>
      </w:pPr>
      <w:r w:rsidRPr="00C91E83">
        <w:rPr>
          <w:b/>
        </w:rPr>
        <w:t>Section 270.156</w:t>
      </w:r>
      <w:r w:rsidR="00D251B5">
        <w:rPr>
          <w:b/>
        </w:rPr>
        <w:t xml:space="preserve"> </w:t>
      </w:r>
      <w:r w:rsidRPr="00C91E83">
        <w:rPr>
          <w:b/>
        </w:rPr>
        <w:t xml:space="preserve"> Retaliation </w:t>
      </w:r>
    </w:p>
    <w:p w:rsidR="00C91E83" w:rsidRPr="00C91E83" w:rsidRDefault="00C91E83" w:rsidP="00036B2C"/>
    <w:p w:rsidR="00C91E83" w:rsidRPr="00C91E83" w:rsidRDefault="00C91E83" w:rsidP="00C91E83">
      <w:pPr>
        <w:ind w:left="1440" w:hanging="720"/>
      </w:pPr>
      <w:r w:rsidRPr="00C91E83">
        <w:t>a)</w:t>
      </w:r>
      <w:r>
        <w:tab/>
      </w:r>
      <w:r w:rsidRPr="00C91E83">
        <w:t xml:space="preserve">It is unlawful to intentionally discriminate, retaliate or effect </w:t>
      </w:r>
      <w:r w:rsidRPr="00C91E83">
        <w:rPr>
          <w:rFonts w:eastAsia="Shruti"/>
        </w:rPr>
        <w:t xml:space="preserve">reprisals in any manner against any resident, participant, representative or employee of a long-term care facility, or </w:t>
      </w:r>
      <w:r w:rsidR="00D251B5">
        <w:rPr>
          <w:rFonts w:eastAsia="Shruti"/>
        </w:rPr>
        <w:t xml:space="preserve">a </w:t>
      </w:r>
      <w:r w:rsidRPr="00C91E83">
        <w:rPr>
          <w:rFonts w:eastAsia="Shruti"/>
        </w:rPr>
        <w:t xml:space="preserve">home care provider, for filing a complaint with, providing information to, or otherwise cooperating in good faith with the Ombudsman.  </w:t>
      </w:r>
    </w:p>
    <w:p w:rsidR="00C91E83" w:rsidRPr="00C91E83" w:rsidRDefault="00C91E83" w:rsidP="00036B2C">
      <w:pPr>
        <w:rPr>
          <w:rFonts w:eastAsia="Courier New"/>
        </w:rPr>
      </w:pPr>
    </w:p>
    <w:p w:rsidR="00C91E83" w:rsidRPr="00C91E83" w:rsidRDefault="00C91E83" w:rsidP="00C91E83">
      <w:pPr>
        <w:ind w:left="1440" w:hanging="720"/>
        <w:rPr>
          <w:rFonts w:eastAsia="Shruti"/>
        </w:rPr>
      </w:pPr>
      <w:r w:rsidRPr="00C91E83">
        <w:rPr>
          <w:rFonts w:eastAsia="Shruti"/>
        </w:rPr>
        <w:t>b)</w:t>
      </w:r>
      <w:r>
        <w:rPr>
          <w:rFonts w:eastAsia="Shruti"/>
        </w:rPr>
        <w:tab/>
      </w:r>
      <w:r w:rsidRPr="00C91E83">
        <w:rPr>
          <w:rFonts w:eastAsia="Shruti"/>
        </w:rPr>
        <w:t xml:space="preserve">The Office </w:t>
      </w:r>
      <w:r w:rsidR="009027D9">
        <w:rPr>
          <w:rFonts w:eastAsia="Shruti"/>
        </w:rPr>
        <w:t>sha</w:t>
      </w:r>
      <w:r w:rsidRPr="00C91E83">
        <w:rPr>
          <w:rFonts w:eastAsia="Shruti"/>
        </w:rPr>
        <w:t xml:space="preserve">ll investigate any report of intentional acts of discrimination, retaliation or reprisal. </w:t>
      </w:r>
    </w:p>
    <w:p w:rsidR="00C91E83" w:rsidRPr="00C91E83" w:rsidRDefault="00C91E83" w:rsidP="00036B2C">
      <w:pPr>
        <w:rPr>
          <w:rFonts w:eastAsia="Courier New"/>
        </w:rPr>
      </w:pPr>
    </w:p>
    <w:p w:rsidR="00C91E83" w:rsidRPr="00C91E83" w:rsidRDefault="00C91E83" w:rsidP="00C91E83">
      <w:pPr>
        <w:ind w:left="1440" w:hanging="720"/>
        <w:rPr>
          <w:rFonts w:eastAsia="Shruti"/>
        </w:rPr>
      </w:pPr>
      <w:r w:rsidRPr="00C91E83">
        <w:rPr>
          <w:rFonts w:eastAsia="Shruti"/>
        </w:rPr>
        <w:t>c)</w:t>
      </w:r>
      <w:r>
        <w:rPr>
          <w:rFonts w:eastAsia="Shruti"/>
        </w:rPr>
        <w:tab/>
      </w:r>
      <w:r w:rsidRPr="00C91E83">
        <w:rPr>
          <w:rFonts w:eastAsia="Shruti"/>
        </w:rPr>
        <w:t xml:space="preserve">If the Office, based on </w:t>
      </w:r>
      <w:r w:rsidR="00D251B5">
        <w:rPr>
          <w:rFonts w:eastAsia="Shruti"/>
        </w:rPr>
        <w:t>a</w:t>
      </w:r>
      <w:r w:rsidRPr="00C91E83">
        <w:rPr>
          <w:rFonts w:eastAsia="Shruti"/>
        </w:rPr>
        <w:t xml:space="preserve"> review</w:t>
      </w:r>
      <w:r w:rsidR="00D251B5">
        <w:rPr>
          <w:rFonts w:eastAsia="Shruti"/>
        </w:rPr>
        <w:t xml:space="preserve"> by the </w:t>
      </w:r>
      <w:r w:rsidR="009D0255">
        <w:rPr>
          <w:rFonts w:eastAsia="Shruti"/>
        </w:rPr>
        <w:t>O</w:t>
      </w:r>
      <w:r w:rsidR="00D251B5">
        <w:rPr>
          <w:rFonts w:eastAsia="Shruti"/>
        </w:rPr>
        <w:t>ffice</w:t>
      </w:r>
      <w:r w:rsidRPr="00C91E83">
        <w:rPr>
          <w:rFonts w:eastAsia="Shruti"/>
        </w:rPr>
        <w:t xml:space="preserve">, determines that enforcement action is warranted, the Office </w:t>
      </w:r>
      <w:r w:rsidR="009027D9">
        <w:rPr>
          <w:rFonts w:eastAsia="Shruti"/>
        </w:rPr>
        <w:t>sha</w:t>
      </w:r>
      <w:r w:rsidRPr="00C91E83">
        <w:rPr>
          <w:rFonts w:eastAsia="Shruti"/>
        </w:rPr>
        <w:t>ll pursue the following course of action:</w:t>
      </w:r>
    </w:p>
    <w:p w:rsidR="00C91E83" w:rsidRPr="00C91E83" w:rsidRDefault="00C91E83" w:rsidP="00036B2C">
      <w:pPr>
        <w:rPr>
          <w:rFonts w:eastAsia="Shruti"/>
        </w:rPr>
      </w:pPr>
    </w:p>
    <w:p w:rsidR="00C91E83" w:rsidRPr="00C91E83" w:rsidRDefault="00C91E83" w:rsidP="00C91E83">
      <w:pPr>
        <w:ind w:left="2160" w:hanging="720"/>
        <w:rPr>
          <w:rFonts w:eastAsia="Shruti"/>
        </w:rPr>
      </w:pPr>
      <w:r w:rsidRPr="00C91E83">
        <w:rPr>
          <w:rFonts w:eastAsia="Shruti"/>
        </w:rPr>
        <w:t>1)</w:t>
      </w:r>
      <w:r>
        <w:rPr>
          <w:rFonts w:eastAsia="Shruti"/>
        </w:rPr>
        <w:tab/>
      </w:r>
      <w:r w:rsidRPr="00C91E83">
        <w:rPr>
          <w:rFonts w:eastAsia="Shruti"/>
        </w:rPr>
        <w:t xml:space="preserve">The State Ombudsman </w:t>
      </w:r>
      <w:r w:rsidR="009027D9">
        <w:rPr>
          <w:rFonts w:eastAsia="Shruti"/>
        </w:rPr>
        <w:t>sha</w:t>
      </w:r>
      <w:r w:rsidRPr="00C91E83">
        <w:rPr>
          <w:rFonts w:eastAsia="Shruti"/>
        </w:rPr>
        <w:t>ll notify the Office of the Attorney General or the appropriate State</w:t>
      </w:r>
      <w:r w:rsidRPr="00C91E83">
        <w:rPr>
          <w:rFonts w:eastAsia="Courier New"/>
        </w:rPr>
        <w:t>'s</w:t>
      </w:r>
      <w:r w:rsidRPr="00C91E83">
        <w:rPr>
          <w:rFonts w:eastAsia="Shruti"/>
        </w:rPr>
        <w:t xml:space="preserve"> Attorney. </w:t>
      </w:r>
    </w:p>
    <w:p w:rsidR="00C91E83" w:rsidRPr="00C91E83" w:rsidRDefault="00C91E83" w:rsidP="00036B2C">
      <w:pPr>
        <w:rPr>
          <w:rFonts w:eastAsia="Shruti"/>
        </w:rPr>
      </w:pPr>
    </w:p>
    <w:p w:rsidR="00C91E83" w:rsidRPr="00C91E83" w:rsidRDefault="00C91E83" w:rsidP="00C91E83">
      <w:pPr>
        <w:ind w:left="2160" w:hanging="720"/>
        <w:rPr>
          <w:rFonts w:eastAsia="Shruti"/>
        </w:rPr>
      </w:pPr>
      <w:r w:rsidRPr="00C91E83">
        <w:rPr>
          <w:rFonts w:eastAsia="Shruti"/>
        </w:rPr>
        <w:t>2)</w:t>
      </w:r>
      <w:r>
        <w:rPr>
          <w:rFonts w:eastAsia="Shruti"/>
        </w:rPr>
        <w:tab/>
      </w:r>
      <w:r w:rsidRPr="00C91E83">
        <w:rPr>
          <w:rFonts w:eastAsia="Shruti"/>
        </w:rPr>
        <w:t xml:space="preserve">When the perpetrator is a long-term care facility employee or agent, the Office </w:t>
      </w:r>
      <w:r w:rsidR="009027D9">
        <w:rPr>
          <w:rFonts w:eastAsia="Shruti"/>
        </w:rPr>
        <w:t>shal</w:t>
      </w:r>
      <w:r w:rsidRPr="00C91E83">
        <w:rPr>
          <w:rFonts w:eastAsia="Shruti"/>
        </w:rPr>
        <w:t>l file a complaint with the</w:t>
      </w:r>
      <w:r>
        <w:rPr>
          <w:rFonts w:eastAsia="Shruti"/>
        </w:rPr>
        <w:t xml:space="preserve"> </w:t>
      </w:r>
      <w:r w:rsidRPr="00C91E83">
        <w:rPr>
          <w:rFonts w:eastAsia="Shruti"/>
        </w:rPr>
        <w:t>Illinois Department of Public Health or the Illinois Department of Healthcare and Family Services, as appropriate.</w:t>
      </w:r>
    </w:p>
    <w:p w:rsidR="00C91E83" w:rsidRPr="00C91E83" w:rsidRDefault="00C91E83" w:rsidP="00036B2C">
      <w:pPr>
        <w:rPr>
          <w:rFonts w:eastAsia="Shruti"/>
        </w:rPr>
      </w:pPr>
    </w:p>
    <w:p w:rsidR="00C91E83" w:rsidRPr="00C91E83" w:rsidRDefault="00C91E83" w:rsidP="00C91E83">
      <w:pPr>
        <w:ind w:left="2160" w:hanging="720"/>
        <w:rPr>
          <w:rFonts w:eastAsia="Courier New"/>
        </w:rPr>
      </w:pPr>
      <w:r>
        <w:rPr>
          <w:rFonts w:eastAsia="Shruti"/>
        </w:rPr>
        <w:t>3)</w:t>
      </w:r>
      <w:r>
        <w:rPr>
          <w:rFonts w:eastAsia="Shruti"/>
        </w:rPr>
        <w:tab/>
      </w:r>
      <w:r w:rsidRPr="00C91E83">
        <w:rPr>
          <w:rFonts w:eastAsia="Shruti"/>
        </w:rPr>
        <w:t xml:space="preserve">When the perpetrator is a provider employee or agent, the Office </w:t>
      </w:r>
      <w:r w:rsidR="009027D9">
        <w:rPr>
          <w:rFonts w:eastAsia="Shruti"/>
        </w:rPr>
        <w:t>sha</w:t>
      </w:r>
      <w:r w:rsidRPr="00C91E83">
        <w:rPr>
          <w:rFonts w:eastAsia="Shruti"/>
        </w:rPr>
        <w:t xml:space="preserve">ll file a complaint with the appropriate entity with jurisdiction. </w:t>
      </w:r>
    </w:p>
    <w:p w:rsidR="000174EB" w:rsidRDefault="000174EB" w:rsidP="00036B2C">
      <w:bookmarkStart w:id="0" w:name="_GoBack"/>
      <w:bookmarkEnd w:id="0"/>
    </w:p>
    <w:p w:rsidR="00C91E83" w:rsidRPr="00C91E83" w:rsidRDefault="00C91E83" w:rsidP="00C91E83">
      <w:pPr>
        <w:ind w:left="1440" w:hanging="720"/>
      </w:pPr>
      <w:r>
        <w:t>(Source:  Added at 4</w:t>
      </w:r>
      <w:r w:rsidR="00ED1982">
        <w:t>3</w:t>
      </w:r>
      <w:r>
        <w:t xml:space="preserve"> Ill. Reg. </w:t>
      </w:r>
      <w:r w:rsidR="00296A13">
        <w:t>980</w:t>
      </w:r>
      <w:r>
        <w:t xml:space="preserve">, effective </w:t>
      </w:r>
      <w:r w:rsidR="00296A13">
        <w:t>January 1, 2019</w:t>
      </w:r>
      <w:r>
        <w:t>)</w:t>
      </w:r>
    </w:p>
    <w:sectPr w:rsidR="00C91E83" w:rsidRPr="00C91E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3C" w:rsidRDefault="00AF013C">
      <w:r>
        <w:separator/>
      </w:r>
    </w:p>
  </w:endnote>
  <w:endnote w:type="continuationSeparator" w:id="0">
    <w:p w:rsidR="00AF013C" w:rsidRDefault="00AF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3C" w:rsidRDefault="00AF013C">
      <w:r>
        <w:separator/>
      </w:r>
    </w:p>
  </w:footnote>
  <w:footnote w:type="continuationSeparator" w:id="0">
    <w:p w:rsidR="00AF013C" w:rsidRDefault="00AF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2AD5"/>
    <w:multiLevelType w:val="hybridMultilevel"/>
    <w:tmpl w:val="99DC0B4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56F20414">
      <w:start w:val="1"/>
      <w:numFmt w:val="upperLetter"/>
      <w:lvlText w:val="%2)"/>
      <w:lvlJc w:val="left"/>
      <w:pPr>
        <w:ind w:left="28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408E16EE">
      <w:start w:val="1"/>
      <w:numFmt w:val="lowerLetter"/>
      <w:lvlText w:val="%4)"/>
      <w:lvlJc w:val="left"/>
      <w:pPr>
        <w:ind w:left="4680" w:hanging="72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B2C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A1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7D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255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13C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E8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1B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982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1F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E3934-16FB-4B34-A4BE-D004D6A8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2018-12-11T16:59:00Z</dcterms:created>
  <dcterms:modified xsi:type="dcterms:W3CDTF">2019-01-08T21:50:00Z</dcterms:modified>
</cp:coreProperties>
</file>