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0D" w:rsidRDefault="007A100D" w:rsidP="007A100D">
      <w:pPr>
        <w:widowControl w:val="0"/>
        <w:autoSpaceDE w:val="0"/>
        <w:autoSpaceDN w:val="0"/>
        <w:adjustRightInd w:val="0"/>
      </w:pPr>
      <w:bookmarkStart w:id="0" w:name="_GoBack"/>
      <w:bookmarkEnd w:id="0"/>
    </w:p>
    <w:p w:rsidR="007A100D" w:rsidRDefault="007A100D" w:rsidP="007A100D">
      <w:pPr>
        <w:widowControl w:val="0"/>
        <w:autoSpaceDE w:val="0"/>
        <w:autoSpaceDN w:val="0"/>
        <w:adjustRightInd w:val="0"/>
      </w:pPr>
      <w:r>
        <w:rPr>
          <w:b/>
          <w:bCs/>
        </w:rPr>
        <w:t>Section 230.350  Maintenance of Effort:  Non-Federal Share</w:t>
      </w:r>
      <w:r>
        <w:t xml:space="preserve"> </w:t>
      </w:r>
    </w:p>
    <w:p w:rsidR="007A100D" w:rsidRDefault="007A100D" w:rsidP="007A100D">
      <w:pPr>
        <w:widowControl w:val="0"/>
        <w:autoSpaceDE w:val="0"/>
        <w:autoSpaceDN w:val="0"/>
        <w:adjustRightInd w:val="0"/>
      </w:pPr>
    </w:p>
    <w:p w:rsidR="007A100D" w:rsidRDefault="007A100D" w:rsidP="007A100D">
      <w:pPr>
        <w:widowControl w:val="0"/>
        <w:autoSpaceDE w:val="0"/>
        <w:autoSpaceDN w:val="0"/>
        <w:adjustRightInd w:val="0"/>
      </w:pPr>
      <w:r>
        <w:t xml:space="preserve">In order to meet the required non-Federal share applicable to allotments in each fiscal year from the Administration on Aging, the Department shall expend under the State plan for both services and administration at least the same amount of State funds spent under the plan for the previous fiscal year. </w:t>
      </w:r>
    </w:p>
    <w:sectPr w:rsidR="007A100D" w:rsidSect="007A1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00D"/>
    <w:rsid w:val="00054208"/>
    <w:rsid w:val="0052020C"/>
    <w:rsid w:val="00556DE4"/>
    <w:rsid w:val="005C3366"/>
    <w:rsid w:val="007A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