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2C" w:rsidRDefault="00EB242C" w:rsidP="00DC116D">
      <w:pPr>
        <w:ind w:left="1440" w:hanging="1440"/>
      </w:pPr>
      <w:bookmarkStart w:id="0" w:name="_GoBack"/>
      <w:bookmarkEnd w:id="0"/>
    </w:p>
    <w:p w:rsidR="00EB242C" w:rsidRPr="00D55B37" w:rsidRDefault="00EB242C">
      <w:pPr>
        <w:pStyle w:val="JCARMainSourceNote"/>
      </w:pPr>
      <w:r>
        <w:t>SOURCE:  Adopted</w:t>
      </w:r>
      <w:r w:rsidRPr="00D55B37">
        <w:t xml:space="preserve"> at </w:t>
      </w:r>
      <w:r>
        <w:t>36</w:t>
      </w:r>
      <w:r w:rsidRPr="00D55B37">
        <w:t xml:space="preserve"> Ill. Reg. </w:t>
      </w:r>
      <w:r w:rsidR="00FC26B2">
        <w:t>4875</w:t>
      </w:r>
      <w:r w:rsidRPr="00D55B37">
        <w:t xml:space="preserve">, effective </w:t>
      </w:r>
      <w:r w:rsidR="00FC26B2">
        <w:t>March 15, 2012</w:t>
      </w:r>
      <w:r>
        <w:t>.</w:t>
      </w:r>
    </w:p>
    <w:sectPr w:rsidR="00EB242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3B" w:rsidRDefault="004E3D3B">
      <w:r>
        <w:separator/>
      </w:r>
    </w:p>
  </w:endnote>
  <w:endnote w:type="continuationSeparator" w:id="0">
    <w:p w:rsidR="004E3D3B" w:rsidRDefault="004E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3B" w:rsidRDefault="004E3D3B">
      <w:r>
        <w:separator/>
      </w:r>
    </w:p>
  </w:footnote>
  <w:footnote w:type="continuationSeparator" w:id="0">
    <w:p w:rsidR="004E3D3B" w:rsidRDefault="004E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1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D1E"/>
    <w:rsid w:val="0049486A"/>
    <w:rsid w:val="004A2DF2"/>
    <w:rsid w:val="004B0153"/>
    <w:rsid w:val="004B41BC"/>
    <w:rsid w:val="004B6FF4"/>
    <w:rsid w:val="004D6EED"/>
    <w:rsid w:val="004D73D3"/>
    <w:rsid w:val="004E3D3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FD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16D"/>
    <w:rsid w:val="00DC505C"/>
    <w:rsid w:val="00DC5FDC"/>
    <w:rsid w:val="00DD16E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42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6B2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