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8E7D" w14:textId="77777777" w:rsidR="002F4921" w:rsidRPr="001130C5" w:rsidRDefault="002F4921" w:rsidP="002F4921">
      <w:pPr>
        <w:jc w:val="both"/>
        <w:rPr>
          <w:color w:val="000000"/>
          <w:sz w:val="24"/>
        </w:rPr>
      </w:pPr>
    </w:p>
    <w:p w14:paraId="4C7D47DF" w14:textId="77777777" w:rsidR="002F4921" w:rsidRDefault="002F4921" w:rsidP="003608B0">
      <w:pPr>
        <w:rPr>
          <w:b/>
          <w:color w:val="000000"/>
          <w:sz w:val="24"/>
        </w:rPr>
      </w:pPr>
      <w:r w:rsidRPr="007A2894">
        <w:rPr>
          <w:b/>
          <w:color w:val="000000"/>
          <w:sz w:val="24"/>
        </w:rPr>
        <w:t>Section 148.402</w:t>
      </w:r>
      <w:r>
        <w:rPr>
          <w:b/>
          <w:color w:val="000000"/>
          <w:sz w:val="24"/>
        </w:rPr>
        <w:t xml:space="preserve">  Expensive Drugs and Devices Add-On Payment</w:t>
      </w:r>
    </w:p>
    <w:p w14:paraId="7D3B1684" w14:textId="77777777" w:rsidR="002F4921" w:rsidRPr="007B63EF" w:rsidRDefault="002F4921" w:rsidP="001C5539">
      <w:pPr>
        <w:rPr>
          <w:sz w:val="24"/>
        </w:rPr>
      </w:pPr>
    </w:p>
    <w:p w14:paraId="5EDBC45B" w14:textId="77777777" w:rsidR="002F4921" w:rsidRPr="007B63EF" w:rsidRDefault="002F4921" w:rsidP="007B63EF">
      <w:pPr>
        <w:ind w:left="1440" w:hanging="720"/>
        <w:rPr>
          <w:sz w:val="24"/>
        </w:rPr>
      </w:pPr>
      <w:r w:rsidRPr="007B63EF">
        <w:rPr>
          <w:sz w:val="24"/>
        </w:rPr>
        <w:t>a)</w:t>
      </w:r>
      <w:r w:rsidRPr="007B63EF">
        <w:rPr>
          <w:sz w:val="24"/>
        </w:rPr>
        <w:tab/>
        <w:t xml:space="preserve">Qualifying Criteria: Beginning July 1, 2018, in addition to the statewide standardized amounts for in-state hospitals as defined in </w:t>
      </w:r>
      <w:r w:rsidR="008D0361" w:rsidRPr="007B63EF">
        <w:rPr>
          <w:sz w:val="24"/>
        </w:rPr>
        <w:t>89 Ill. Adm Code</w:t>
      </w:r>
      <w:r w:rsidR="00961697" w:rsidRPr="007B63EF">
        <w:rPr>
          <w:sz w:val="24"/>
        </w:rPr>
        <w:t xml:space="preserve"> </w:t>
      </w:r>
      <w:r w:rsidRPr="007B63EF">
        <w:rPr>
          <w:sz w:val="24"/>
        </w:rPr>
        <w:t>149.100(i), the Department shall make an add-on payment for outpatient expensive devices and drugs. This add-on payment shall apply to claim lines that:</w:t>
      </w:r>
    </w:p>
    <w:p w14:paraId="3008C162" w14:textId="77777777" w:rsidR="002F4921" w:rsidRPr="007B63EF" w:rsidRDefault="002F4921" w:rsidP="001C5539">
      <w:pPr>
        <w:rPr>
          <w:sz w:val="24"/>
        </w:rPr>
      </w:pPr>
    </w:p>
    <w:p w14:paraId="5AEF9CC6" w14:textId="77777777" w:rsidR="00961697" w:rsidRPr="007B63EF" w:rsidRDefault="002F4921" w:rsidP="007B63EF">
      <w:pPr>
        <w:ind w:left="1440"/>
        <w:rPr>
          <w:sz w:val="24"/>
        </w:rPr>
      </w:pPr>
      <w:r w:rsidRPr="007B63EF">
        <w:rPr>
          <w:sz w:val="24"/>
        </w:rPr>
        <w:t>1)</w:t>
      </w:r>
      <w:r w:rsidRPr="007B63EF">
        <w:rPr>
          <w:sz w:val="24"/>
        </w:rPr>
        <w:tab/>
        <w:t>Are</w:t>
      </w:r>
      <w:r w:rsidR="00961697" w:rsidRPr="007B63EF">
        <w:rPr>
          <w:sz w:val="24"/>
        </w:rPr>
        <w:t>:</w:t>
      </w:r>
    </w:p>
    <w:p w14:paraId="355E3F68" w14:textId="77777777" w:rsidR="00961697" w:rsidRPr="007B63EF" w:rsidRDefault="00961697" w:rsidP="001C5539">
      <w:pPr>
        <w:rPr>
          <w:sz w:val="24"/>
        </w:rPr>
      </w:pPr>
    </w:p>
    <w:p w14:paraId="7BB34CB3" w14:textId="77777777" w:rsidR="00961697" w:rsidRPr="007B63EF" w:rsidRDefault="00961697" w:rsidP="007B63EF">
      <w:pPr>
        <w:ind w:left="2880" w:hanging="720"/>
        <w:rPr>
          <w:sz w:val="24"/>
        </w:rPr>
      </w:pPr>
      <w:r w:rsidRPr="007B63EF">
        <w:rPr>
          <w:sz w:val="24"/>
        </w:rPr>
        <w:t>A)</w:t>
      </w:r>
      <w:r w:rsidRPr="007B63EF">
        <w:rPr>
          <w:sz w:val="24"/>
        </w:rPr>
        <w:tab/>
      </w:r>
      <w:r w:rsidR="002F4921" w:rsidRPr="007B63EF">
        <w:rPr>
          <w:sz w:val="24"/>
        </w:rPr>
        <w:t>assigned with one of the following EAPGs: 490</w:t>
      </w:r>
      <w:r w:rsidRPr="007B63EF">
        <w:rPr>
          <w:sz w:val="24"/>
        </w:rPr>
        <w:t xml:space="preserve"> or</w:t>
      </w:r>
      <w:r w:rsidR="002F4921" w:rsidRPr="007B63EF">
        <w:rPr>
          <w:sz w:val="24"/>
        </w:rPr>
        <w:t xml:space="preserve"> 1001 t</w:t>
      </w:r>
      <w:r w:rsidRPr="007B63EF">
        <w:rPr>
          <w:sz w:val="24"/>
        </w:rPr>
        <w:t>hrough</w:t>
      </w:r>
      <w:r w:rsidR="002F4921" w:rsidRPr="007B63EF">
        <w:rPr>
          <w:sz w:val="24"/>
        </w:rPr>
        <w:t xml:space="preserve"> 1020</w:t>
      </w:r>
      <w:r w:rsidRPr="007B63EF">
        <w:rPr>
          <w:sz w:val="24"/>
        </w:rPr>
        <w:t>;</w:t>
      </w:r>
      <w:r w:rsidR="002F4921" w:rsidRPr="007B63EF">
        <w:rPr>
          <w:sz w:val="24"/>
        </w:rPr>
        <w:t xml:space="preserve"> and </w:t>
      </w:r>
    </w:p>
    <w:p w14:paraId="289259A7" w14:textId="77777777" w:rsidR="00961697" w:rsidRPr="007B63EF" w:rsidRDefault="00961697" w:rsidP="001C5539">
      <w:pPr>
        <w:rPr>
          <w:sz w:val="24"/>
        </w:rPr>
      </w:pPr>
    </w:p>
    <w:p w14:paraId="1186216E" w14:textId="44C12FF5" w:rsidR="002F4921" w:rsidRPr="007B63EF" w:rsidRDefault="00961697" w:rsidP="007B63EF">
      <w:pPr>
        <w:ind w:left="2880" w:hanging="720"/>
        <w:rPr>
          <w:sz w:val="24"/>
        </w:rPr>
      </w:pPr>
      <w:r w:rsidRPr="007B63EF">
        <w:rPr>
          <w:sz w:val="24"/>
        </w:rPr>
        <w:t>B)</w:t>
      </w:r>
      <w:r w:rsidRPr="007B63EF">
        <w:rPr>
          <w:sz w:val="24"/>
        </w:rPr>
        <w:tab/>
      </w:r>
      <w:r w:rsidR="002F4921" w:rsidRPr="007B63EF">
        <w:rPr>
          <w:sz w:val="24"/>
        </w:rPr>
        <w:t>coded with one of the following revenue codes: 0274 t</w:t>
      </w:r>
      <w:r w:rsidRPr="007B63EF">
        <w:rPr>
          <w:sz w:val="24"/>
        </w:rPr>
        <w:t>hrough</w:t>
      </w:r>
      <w:r w:rsidR="002F4921" w:rsidRPr="007B63EF">
        <w:rPr>
          <w:sz w:val="24"/>
        </w:rPr>
        <w:t xml:space="preserve"> 0276, 0278;</w:t>
      </w:r>
    </w:p>
    <w:p w14:paraId="61BD308E" w14:textId="77777777" w:rsidR="002F4921" w:rsidRPr="007B63EF" w:rsidRDefault="002F4921" w:rsidP="001C5539">
      <w:pPr>
        <w:rPr>
          <w:sz w:val="24"/>
        </w:rPr>
      </w:pPr>
    </w:p>
    <w:p w14:paraId="31FCAF3F" w14:textId="42599AC7" w:rsidR="002F4921" w:rsidRPr="007B63EF" w:rsidRDefault="002F4921" w:rsidP="007B63EF">
      <w:pPr>
        <w:ind w:left="2160" w:hanging="720"/>
        <w:rPr>
          <w:sz w:val="24"/>
        </w:rPr>
      </w:pPr>
      <w:r w:rsidRPr="007B63EF">
        <w:rPr>
          <w:sz w:val="24"/>
        </w:rPr>
        <w:t>2)</w:t>
      </w:r>
      <w:r w:rsidRPr="007B63EF">
        <w:rPr>
          <w:sz w:val="24"/>
        </w:rPr>
        <w:tab/>
        <w:t>Are assigned with one of the following EAPGs: 430 t</w:t>
      </w:r>
      <w:r w:rsidR="00961697" w:rsidRPr="007B63EF">
        <w:rPr>
          <w:sz w:val="24"/>
        </w:rPr>
        <w:t>hrough</w:t>
      </w:r>
      <w:r w:rsidRPr="007B63EF">
        <w:rPr>
          <w:sz w:val="24"/>
        </w:rPr>
        <w:t xml:space="preserve"> 441, 443, 444, 460 to 465, 495, 496, 1090</w:t>
      </w:r>
      <w:r w:rsidR="00B37059" w:rsidRPr="007B63EF">
        <w:rPr>
          <w:sz w:val="24"/>
        </w:rPr>
        <w:t>; or</w:t>
      </w:r>
    </w:p>
    <w:p w14:paraId="267C02DA" w14:textId="7E861F90" w:rsidR="00B37059" w:rsidRPr="00B37059" w:rsidRDefault="00B37059" w:rsidP="001C5539">
      <w:pPr>
        <w:rPr>
          <w:sz w:val="24"/>
        </w:rPr>
      </w:pPr>
    </w:p>
    <w:p w14:paraId="7A75C441" w14:textId="7DB1910E" w:rsidR="00B37059" w:rsidRPr="00B37059" w:rsidRDefault="00B37059" w:rsidP="00B37059">
      <w:pPr>
        <w:ind w:left="2160" w:hanging="720"/>
        <w:rPr>
          <w:sz w:val="24"/>
        </w:rPr>
      </w:pPr>
      <w:r w:rsidRPr="00B37059">
        <w:rPr>
          <w:sz w:val="24"/>
        </w:rPr>
        <w:t>3)</w:t>
      </w:r>
      <w:r>
        <w:rPr>
          <w:sz w:val="24"/>
        </w:rPr>
        <w:tab/>
      </w:r>
      <w:r w:rsidRPr="00B37059">
        <w:rPr>
          <w:sz w:val="24"/>
        </w:rPr>
        <w:t xml:space="preserve">Are assigned to EAPGs that clinically represent drugs and devices outside of those listed in </w:t>
      </w:r>
      <w:r w:rsidR="000F2251">
        <w:rPr>
          <w:sz w:val="24"/>
        </w:rPr>
        <w:t>subsections (a)</w:t>
      </w:r>
      <w:r w:rsidRPr="00B37059">
        <w:rPr>
          <w:sz w:val="24"/>
        </w:rPr>
        <w:t xml:space="preserve">(1) and </w:t>
      </w:r>
      <w:r w:rsidR="000F2251">
        <w:rPr>
          <w:sz w:val="24"/>
        </w:rPr>
        <w:t>(a)</w:t>
      </w:r>
      <w:r w:rsidRPr="00B37059">
        <w:rPr>
          <w:sz w:val="24"/>
        </w:rPr>
        <w:t>(2), upon inst</w:t>
      </w:r>
      <w:r w:rsidR="000F2251">
        <w:rPr>
          <w:sz w:val="24"/>
        </w:rPr>
        <w:t>a</w:t>
      </w:r>
      <w:r w:rsidRPr="00B37059">
        <w:rPr>
          <w:sz w:val="24"/>
        </w:rPr>
        <w:t>llation of grouping software updates, as determined by the Department.</w:t>
      </w:r>
    </w:p>
    <w:p w14:paraId="45DBE0CC" w14:textId="77777777" w:rsidR="002F4921" w:rsidRPr="007B63EF" w:rsidRDefault="002F4921" w:rsidP="001C5539">
      <w:pPr>
        <w:rPr>
          <w:sz w:val="24"/>
        </w:rPr>
      </w:pPr>
    </w:p>
    <w:p w14:paraId="1F4BD4F1" w14:textId="77777777" w:rsidR="002F4921" w:rsidRPr="007B63EF" w:rsidRDefault="002F4921" w:rsidP="007B63EF">
      <w:pPr>
        <w:ind w:left="1440" w:hanging="720"/>
        <w:rPr>
          <w:sz w:val="24"/>
        </w:rPr>
      </w:pPr>
      <w:r w:rsidRPr="007B63EF">
        <w:rPr>
          <w:sz w:val="24"/>
        </w:rPr>
        <w:t>b)</w:t>
      </w:r>
      <w:r w:rsidRPr="007B63EF">
        <w:rPr>
          <w:sz w:val="24"/>
        </w:rPr>
        <w:tab/>
        <w:t>The add-on payment shall be the sum of the following calculations:</w:t>
      </w:r>
    </w:p>
    <w:p w14:paraId="3B34EB6E" w14:textId="77777777" w:rsidR="002F4921" w:rsidRPr="007B63EF" w:rsidRDefault="002F4921" w:rsidP="001C5539">
      <w:pPr>
        <w:rPr>
          <w:sz w:val="24"/>
        </w:rPr>
      </w:pPr>
    </w:p>
    <w:p w14:paraId="7838B88B" w14:textId="77777777" w:rsidR="002F4921" w:rsidRPr="007B63EF" w:rsidRDefault="002F4921" w:rsidP="007B63EF">
      <w:pPr>
        <w:ind w:left="1440"/>
        <w:rPr>
          <w:sz w:val="24"/>
        </w:rPr>
      </w:pPr>
      <w:r w:rsidRPr="007B63EF">
        <w:rPr>
          <w:sz w:val="24"/>
        </w:rPr>
        <w:t>1)</w:t>
      </w:r>
      <w:r w:rsidRPr="007B63EF">
        <w:rPr>
          <w:sz w:val="24"/>
        </w:rPr>
        <w:tab/>
        <w:t>The product of:</w:t>
      </w:r>
    </w:p>
    <w:p w14:paraId="330CA7AE" w14:textId="77777777" w:rsidR="002F4921" w:rsidRPr="007B63EF" w:rsidRDefault="002F4921" w:rsidP="001C5539">
      <w:pPr>
        <w:rPr>
          <w:sz w:val="24"/>
        </w:rPr>
      </w:pPr>
    </w:p>
    <w:p w14:paraId="0789895E" w14:textId="77777777" w:rsidR="002F4921" w:rsidRPr="007B63EF" w:rsidRDefault="002F4921" w:rsidP="007B63EF">
      <w:pPr>
        <w:ind w:left="2880" w:hanging="720"/>
        <w:rPr>
          <w:sz w:val="24"/>
        </w:rPr>
      </w:pPr>
      <w:r w:rsidRPr="007B63EF">
        <w:rPr>
          <w:sz w:val="24"/>
        </w:rPr>
        <w:t>A)</w:t>
      </w:r>
      <w:r w:rsidRPr="007B63EF">
        <w:rPr>
          <w:sz w:val="24"/>
        </w:rPr>
        <w:tab/>
        <w:t>The claim line's covered charges; and</w:t>
      </w:r>
    </w:p>
    <w:p w14:paraId="426795BE" w14:textId="77777777" w:rsidR="002F4921" w:rsidRPr="007B63EF" w:rsidRDefault="002F4921" w:rsidP="001C5539">
      <w:pPr>
        <w:rPr>
          <w:sz w:val="24"/>
        </w:rPr>
      </w:pPr>
    </w:p>
    <w:p w14:paraId="1AE87583" w14:textId="77777777" w:rsidR="002F4921" w:rsidRPr="007B63EF" w:rsidRDefault="002F4921" w:rsidP="007B63EF">
      <w:pPr>
        <w:ind w:left="2880" w:hanging="720"/>
        <w:rPr>
          <w:sz w:val="24"/>
        </w:rPr>
      </w:pPr>
      <w:r w:rsidRPr="007B63EF">
        <w:rPr>
          <w:sz w:val="24"/>
        </w:rPr>
        <w:t>B)</w:t>
      </w:r>
      <w:r w:rsidRPr="007B63EF">
        <w:rPr>
          <w:sz w:val="24"/>
        </w:rPr>
        <w:tab/>
        <w:t xml:space="preserve">The hospital's total acute cost to charge ratio as defined in subsection </w:t>
      </w:r>
      <w:r w:rsidR="00B06C4A" w:rsidRPr="007B63EF">
        <w:rPr>
          <w:sz w:val="24"/>
        </w:rPr>
        <w:t>(b)</w:t>
      </w:r>
      <w:r w:rsidRPr="007B63EF">
        <w:rPr>
          <w:sz w:val="24"/>
        </w:rPr>
        <w:t>(3).</w:t>
      </w:r>
    </w:p>
    <w:p w14:paraId="62F0F41C" w14:textId="77777777" w:rsidR="002F4921" w:rsidRPr="007B63EF" w:rsidRDefault="002F4921" w:rsidP="001C5539">
      <w:pPr>
        <w:rPr>
          <w:sz w:val="24"/>
        </w:rPr>
      </w:pPr>
    </w:p>
    <w:p w14:paraId="50D1C7FD" w14:textId="77777777" w:rsidR="002F4921" w:rsidRPr="007B63EF" w:rsidRDefault="002F4921" w:rsidP="007B63EF">
      <w:pPr>
        <w:ind w:left="1440"/>
        <w:rPr>
          <w:sz w:val="24"/>
        </w:rPr>
      </w:pPr>
      <w:r w:rsidRPr="007B63EF">
        <w:rPr>
          <w:sz w:val="24"/>
        </w:rPr>
        <w:t>2)</w:t>
      </w:r>
      <w:r w:rsidRPr="007B63EF">
        <w:rPr>
          <w:sz w:val="24"/>
        </w:rPr>
        <w:tab/>
        <w:t>The sum of:</w:t>
      </w:r>
    </w:p>
    <w:p w14:paraId="1AF20B61" w14:textId="77777777" w:rsidR="002F4921" w:rsidRPr="007B63EF" w:rsidRDefault="002F4921" w:rsidP="001C5539">
      <w:pPr>
        <w:rPr>
          <w:sz w:val="24"/>
        </w:rPr>
      </w:pPr>
    </w:p>
    <w:p w14:paraId="52AB533E" w14:textId="77777777" w:rsidR="002F4921" w:rsidRPr="007B63EF" w:rsidRDefault="002F4921" w:rsidP="007B63EF">
      <w:pPr>
        <w:ind w:left="2880" w:hanging="720"/>
        <w:rPr>
          <w:sz w:val="24"/>
        </w:rPr>
      </w:pPr>
      <w:r w:rsidRPr="007B63EF">
        <w:rPr>
          <w:sz w:val="24"/>
        </w:rPr>
        <w:t>A)</w:t>
      </w:r>
      <w:r w:rsidRPr="007B63EF">
        <w:rPr>
          <w:sz w:val="24"/>
        </w:rPr>
        <w:tab/>
        <w:t>The claim line's EAPG payment; and</w:t>
      </w:r>
    </w:p>
    <w:p w14:paraId="11A5448C" w14:textId="77777777" w:rsidR="002F4921" w:rsidRPr="007B63EF" w:rsidRDefault="002F4921" w:rsidP="001C5539">
      <w:pPr>
        <w:rPr>
          <w:sz w:val="24"/>
        </w:rPr>
      </w:pPr>
    </w:p>
    <w:p w14:paraId="0C436C3B" w14:textId="77777777" w:rsidR="002F4921" w:rsidRPr="007B63EF" w:rsidRDefault="002F4921" w:rsidP="007B63EF">
      <w:pPr>
        <w:ind w:left="2880" w:hanging="720"/>
        <w:rPr>
          <w:sz w:val="24"/>
        </w:rPr>
      </w:pPr>
      <w:r w:rsidRPr="007B63EF">
        <w:rPr>
          <w:sz w:val="24"/>
        </w:rPr>
        <w:t>B)</w:t>
      </w:r>
      <w:r w:rsidRPr="007B63EF">
        <w:rPr>
          <w:sz w:val="24"/>
        </w:rPr>
        <w:tab/>
        <w:t>$1,000.</w:t>
      </w:r>
    </w:p>
    <w:p w14:paraId="119BBDD9" w14:textId="77777777" w:rsidR="002F4921" w:rsidRPr="007B63EF" w:rsidRDefault="002F4921" w:rsidP="001C5539">
      <w:pPr>
        <w:rPr>
          <w:sz w:val="24"/>
        </w:rPr>
      </w:pPr>
    </w:p>
    <w:p w14:paraId="1ECED9F8" w14:textId="77777777" w:rsidR="002F4921" w:rsidRPr="007B63EF" w:rsidRDefault="002F4921" w:rsidP="007B63EF">
      <w:pPr>
        <w:ind w:left="1440"/>
        <w:rPr>
          <w:sz w:val="24"/>
        </w:rPr>
      </w:pPr>
      <w:r w:rsidRPr="007B63EF">
        <w:rPr>
          <w:sz w:val="24"/>
        </w:rPr>
        <w:t>3)</w:t>
      </w:r>
      <w:r w:rsidRPr="007B63EF">
        <w:rPr>
          <w:sz w:val="24"/>
        </w:rPr>
        <w:tab/>
        <w:t>The product of:</w:t>
      </w:r>
    </w:p>
    <w:p w14:paraId="008CB20D" w14:textId="77777777" w:rsidR="002F4921" w:rsidRPr="007B63EF" w:rsidRDefault="002F4921" w:rsidP="001C5539">
      <w:pPr>
        <w:rPr>
          <w:sz w:val="24"/>
        </w:rPr>
      </w:pPr>
    </w:p>
    <w:p w14:paraId="30973D9E" w14:textId="77777777" w:rsidR="002F4921" w:rsidRPr="007B63EF" w:rsidRDefault="002F4921" w:rsidP="007B63EF">
      <w:pPr>
        <w:ind w:left="2880" w:hanging="720"/>
        <w:rPr>
          <w:sz w:val="24"/>
        </w:rPr>
      </w:pPr>
      <w:r w:rsidRPr="007B63EF">
        <w:rPr>
          <w:sz w:val="24"/>
        </w:rPr>
        <w:t>A)</w:t>
      </w:r>
      <w:r w:rsidRPr="007B63EF">
        <w:rPr>
          <w:sz w:val="24"/>
        </w:rPr>
        <w:tab/>
        <w:t xml:space="preserve">The difference between subsections </w:t>
      </w:r>
      <w:r w:rsidR="003645C2" w:rsidRPr="007B63EF">
        <w:rPr>
          <w:sz w:val="24"/>
        </w:rPr>
        <w:t>(b)</w:t>
      </w:r>
      <w:r w:rsidRPr="007B63EF">
        <w:rPr>
          <w:sz w:val="24"/>
        </w:rPr>
        <w:t>(2)(A) and (2)(B); and</w:t>
      </w:r>
    </w:p>
    <w:p w14:paraId="3523A646" w14:textId="77777777" w:rsidR="002F4921" w:rsidRPr="007B63EF" w:rsidRDefault="002F4921" w:rsidP="001C5539">
      <w:pPr>
        <w:rPr>
          <w:sz w:val="24"/>
        </w:rPr>
      </w:pPr>
    </w:p>
    <w:p w14:paraId="33AEA289" w14:textId="77777777" w:rsidR="002F4921" w:rsidRPr="007B63EF" w:rsidRDefault="002F4921" w:rsidP="007B63EF">
      <w:pPr>
        <w:ind w:left="2880" w:hanging="720"/>
        <w:rPr>
          <w:sz w:val="24"/>
        </w:rPr>
      </w:pPr>
      <w:r w:rsidRPr="007B63EF">
        <w:rPr>
          <w:sz w:val="24"/>
        </w:rPr>
        <w:t>B)</w:t>
      </w:r>
      <w:r w:rsidRPr="007B63EF">
        <w:rPr>
          <w:sz w:val="24"/>
        </w:rPr>
        <w:tab/>
        <w:t xml:space="preserve">0.8. </w:t>
      </w:r>
    </w:p>
    <w:p w14:paraId="4D9E2E75" w14:textId="77777777" w:rsidR="002F4921" w:rsidRPr="007B63EF" w:rsidRDefault="002F4921" w:rsidP="001C5539">
      <w:pPr>
        <w:rPr>
          <w:sz w:val="24"/>
        </w:rPr>
      </w:pPr>
    </w:p>
    <w:p w14:paraId="4869280A" w14:textId="77777777" w:rsidR="002F4921" w:rsidRPr="007B63EF" w:rsidRDefault="002F4921" w:rsidP="007B63EF">
      <w:pPr>
        <w:ind w:left="1440" w:hanging="720"/>
        <w:rPr>
          <w:sz w:val="24"/>
        </w:rPr>
      </w:pPr>
      <w:r w:rsidRPr="007B63EF">
        <w:rPr>
          <w:sz w:val="24"/>
        </w:rPr>
        <w:t>c)</w:t>
      </w:r>
      <w:r w:rsidRPr="007B63EF">
        <w:rPr>
          <w:sz w:val="24"/>
        </w:rPr>
        <w:tab/>
        <w:t>For purposes of this Section, estimated claim cost is based on the product of the claim total covered charges and the hospital</w:t>
      </w:r>
      <w:r w:rsidR="00466657" w:rsidRPr="007B63EF">
        <w:rPr>
          <w:sz w:val="24"/>
        </w:rPr>
        <w:t>'</w:t>
      </w:r>
      <w:r w:rsidRPr="007B63EF">
        <w:rPr>
          <w:sz w:val="24"/>
        </w:rPr>
        <w:t>s Medicare IPPS outlier cost-to-</w:t>
      </w:r>
      <w:r w:rsidRPr="007B63EF">
        <w:rPr>
          <w:sz w:val="24"/>
        </w:rPr>
        <w:lastRenderedPageBreak/>
        <w:t xml:space="preserve">charge ratio.  The Medicare IPPS outlier cost-to-charge ratio is determined based on: </w:t>
      </w:r>
    </w:p>
    <w:p w14:paraId="0531EE97" w14:textId="77777777" w:rsidR="002F4921" w:rsidRPr="007B63EF" w:rsidRDefault="002F4921" w:rsidP="001C5539">
      <w:pPr>
        <w:rPr>
          <w:sz w:val="24"/>
        </w:rPr>
      </w:pPr>
    </w:p>
    <w:p w14:paraId="679AB9FF" w14:textId="77777777" w:rsidR="002F4921" w:rsidRPr="007B63EF" w:rsidRDefault="002F4921" w:rsidP="007B63EF">
      <w:pPr>
        <w:ind w:left="2160" w:hanging="720"/>
        <w:rPr>
          <w:sz w:val="24"/>
        </w:rPr>
      </w:pPr>
      <w:r w:rsidRPr="007B63EF">
        <w:rPr>
          <w:sz w:val="24"/>
        </w:rPr>
        <w:t>1)</w:t>
      </w:r>
      <w:r w:rsidRPr="007B63EF">
        <w:rPr>
          <w:sz w:val="24"/>
        </w:rPr>
        <w:tab/>
        <w:t>For Medicare IPPS hospitals, the outlier cost-to-charge ratio is based on the sum of the Medicare inpatient prospective payment system hospital-specific operating and capital outlier cost-to-charge ratios effective at the beginning of the federal fiscal year starting three months prior to the calendar year during which the discharge occurred.</w:t>
      </w:r>
    </w:p>
    <w:p w14:paraId="35DE4CBF" w14:textId="77777777" w:rsidR="002F4921" w:rsidRPr="007B63EF" w:rsidRDefault="002F4921" w:rsidP="001C5539">
      <w:pPr>
        <w:rPr>
          <w:sz w:val="24"/>
        </w:rPr>
      </w:pPr>
    </w:p>
    <w:p w14:paraId="2C32FE73" w14:textId="77777777" w:rsidR="003D711F" w:rsidRPr="007B63EF" w:rsidRDefault="002F4921" w:rsidP="007B63EF">
      <w:pPr>
        <w:ind w:left="2160" w:hanging="720"/>
        <w:rPr>
          <w:sz w:val="24"/>
        </w:rPr>
      </w:pPr>
      <w:r w:rsidRPr="007B63EF">
        <w:rPr>
          <w:sz w:val="24"/>
        </w:rPr>
        <w:t>2)</w:t>
      </w:r>
      <w:r w:rsidRPr="007B63EF">
        <w:rPr>
          <w:sz w:val="24"/>
        </w:rPr>
        <w:tab/>
        <w:t>For non-Medicare IPPS, the outlier cost-to-charge ratio is based on the sum of the Medica</w:t>
      </w:r>
      <w:r w:rsidR="00961697" w:rsidRPr="007B63EF">
        <w:rPr>
          <w:sz w:val="24"/>
        </w:rPr>
        <w:t>r</w:t>
      </w:r>
      <w:r w:rsidRPr="007B63EF">
        <w:rPr>
          <w:sz w:val="24"/>
        </w:rPr>
        <w:t>e inpatient prospective payment system statewide average operating and capital outlier cost-to-charge ratios for urban hospitals for the state in which the hospital is located, effective at the beginning of the federal fiscal year starting three months prior to the calendar year during which the discharge occurred.</w:t>
      </w:r>
    </w:p>
    <w:p w14:paraId="3B584B0F" w14:textId="77777777" w:rsidR="003D711F" w:rsidRPr="007B63EF" w:rsidRDefault="003D711F" w:rsidP="001C5539">
      <w:pPr>
        <w:rPr>
          <w:sz w:val="24"/>
        </w:rPr>
      </w:pPr>
    </w:p>
    <w:p w14:paraId="45444AA7" w14:textId="50C73308" w:rsidR="002F4921" w:rsidRPr="003D711F" w:rsidRDefault="00B37059" w:rsidP="003D711F">
      <w:pPr>
        <w:ind w:left="720"/>
        <w:rPr>
          <w:sz w:val="24"/>
        </w:rPr>
      </w:pPr>
      <w:r w:rsidRPr="00B37059">
        <w:rPr>
          <w:sz w:val="24"/>
        </w:rPr>
        <w:t xml:space="preserve">(Source:  Amended at 49 Ill. Reg. </w:t>
      </w:r>
      <w:r w:rsidR="00F77EAF">
        <w:rPr>
          <w:sz w:val="24"/>
        </w:rPr>
        <w:t>2024</w:t>
      </w:r>
      <w:r w:rsidRPr="00B37059">
        <w:rPr>
          <w:sz w:val="24"/>
        </w:rPr>
        <w:t xml:space="preserve">, effective </w:t>
      </w:r>
      <w:r w:rsidR="00F77EAF">
        <w:rPr>
          <w:sz w:val="24"/>
        </w:rPr>
        <w:t>February 10, 2025</w:t>
      </w:r>
      <w:r w:rsidRPr="00B37059">
        <w:rPr>
          <w:sz w:val="24"/>
        </w:rPr>
        <w:t>)</w:t>
      </w:r>
    </w:p>
    <w:sectPr w:rsidR="002F4921" w:rsidRPr="003D711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789F" w14:textId="77777777" w:rsidR="00AB7ACE" w:rsidRDefault="00AB7ACE">
      <w:r>
        <w:separator/>
      </w:r>
    </w:p>
  </w:endnote>
  <w:endnote w:type="continuationSeparator" w:id="0">
    <w:p w14:paraId="2FEBBB5E" w14:textId="77777777" w:rsidR="00AB7ACE" w:rsidRDefault="00AB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B817" w14:textId="77777777" w:rsidR="00AB7ACE" w:rsidRDefault="00AB7ACE">
      <w:r>
        <w:separator/>
      </w:r>
    </w:p>
  </w:footnote>
  <w:footnote w:type="continuationSeparator" w:id="0">
    <w:p w14:paraId="7A39C024" w14:textId="77777777" w:rsidR="00AB7ACE" w:rsidRDefault="00AB7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CE"/>
    <w:rsid w:val="00000AED"/>
    <w:rsid w:val="00001F1D"/>
    <w:rsid w:val="00003CEF"/>
    <w:rsid w:val="00005CAE"/>
    <w:rsid w:val="00005DE9"/>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251"/>
    <w:rsid w:val="000F25A1"/>
    <w:rsid w:val="000F6AB6"/>
    <w:rsid w:val="000F6C6D"/>
    <w:rsid w:val="00103C24"/>
    <w:rsid w:val="00110A0B"/>
    <w:rsid w:val="001130C5"/>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53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736"/>
    <w:rsid w:val="002667B7"/>
    <w:rsid w:val="00267D8C"/>
    <w:rsid w:val="00272138"/>
    <w:rsid w:val="002721C1"/>
    <w:rsid w:val="00272986"/>
    <w:rsid w:val="00274640"/>
    <w:rsid w:val="002760EE"/>
    <w:rsid w:val="002772A5"/>
    <w:rsid w:val="002800A3"/>
    <w:rsid w:val="0028037A"/>
    <w:rsid w:val="00280FB4"/>
    <w:rsid w:val="00283152"/>
    <w:rsid w:val="00290686"/>
    <w:rsid w:val="00295847"/>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51F"/>
    <w:rsid w:val="002F41A1"/>
    <w:rsid w:val="002F492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8B0"/>
    <w:rsid w:val="003645C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11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65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825"/>
    <w:rsid w:val="005D35F3"/>
    <w:rsid w:val="005E03A7"/>
    <w:rsid w:val="005E3D55"/>
    <w:rsid w:val="005E5FC0"/>
    <w:rsid w:val="005F1ADC"/>
    <w:rsid w:val="005F2891"/>
    <w:rsid w:val="00604BCE"/>
    <w:rsid w:val="006132CE"/>
    <w:rsid w:val="00620BBA"/>
    <w:rsid w:val="006225B0"/>
    <w:rsid w:val="0062308E"/>
    <w:rsid w:val="006247D4"/>
    <w:rsid w:val="00626C17"/>
    <w:rsid w:val="00631875"/>
    <w:rsid w:val="006348DE"/>
    <w:rsid w:val="00634D17"/>
    <w:rsid w:val="006361A4"/>
    <w:rsid w:val="00641AEA"/>
    <w:rsid w:val="0064660E"/>
    <w:rsid w:val="00647E1C"/>
    <w:rsid w:val="00651FF5"/>
    <w:rsid w:val="00660F0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3E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0AA"/>
    <w:rsid w:val="008D0361"/>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69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ACE"/>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C4A"/>
    <w:rsid w:val="00B15414"/>
    <w:rsid w:val="00B17273"/>
    <w:rsid w:val="00B17D78"/>
    <w:rsid w:val="00B23B52"/>
    <w:rsid w:val="00B2411F"/>
    <w:rsid w:val="00B25B52"/>
    <w:rsid w:val="00B324A0"/>
    <w:rsid w:val="00B34F63"/>
    <w:rsid w:val="00B35D67"/>
    <w:rsid w:val="00B37059"/>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F4B"/>
    <w:rsid w:val="00CC4FF8"/>
    <w:rsid w:val="00CD3723"/>
    <w:rsid w:val="00CD5413"/>
    <w:rsid w:val="00CE01BF"/>
    <w:rsid w:val="00CE4292"/>
    <w:rsid w:val="00CE6CBE"/>
    <w:rsid w:val="00CF0FC7"/>
    <w:rsid w:val="00D03A79"/>
    <w:rsid w:val="00D0676C"/>
    <w:rsid w:val="00D10D50"/>
    <w:rsid w:val="00D110C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86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39D"/>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E74"/>
    <w:rsid w:val="00F32DC4"/>
    <w:rsid w:val="00F410DA"/>
    <w:rsid w:val="00F43DEE"/>
    <w:rsid w:val="00F44D59"/>
    <w:rsid w:val="00F46DB5"/>
    <w:rsid w:val="00F50CD3"/>
    <w:rsid w:val="00F51039"/>
    <w:rsid w:val="00F525F7"/>
    <w:rsid w:val="00F71899"/>
    <w:rsid w:val="00F73B7F"/>
    <w:rsid w:val="00F76C9F"/>
    <w:rsid w:val="00F77EAF"/>
    <w:rsid w:val="00F82FB8"/>
    <w:rsid w:val="00F83011"/>
    <w:rsid w:val="00F8452A"/>
    <w:rsid w:val="00F9393D"/>
    <w:rsid w:val="00F942E4"/>
    <w:rsid w:val="00F942E7"/>
    <w:rsid w:val="00F953D5"/>
    <w:rsid w:val="00F96704"/>
    <w:rsid w:val="00F97D67"/>
    <w:rsid w:val="00FA0BA5"/>
    <w:rsid w:val="00FA186E"/>
    <w:rsid w:val="00FA19DB"/>
    <w:rsid w:val="00FB1274"/>
    <w:rsid w:val="00FB6CE4"/>
    <w:rsid w:val="00FC18E5"/>
    <w:rsid w:val="00FC2BF7"/>
    <w:rsid w:val="00FC3252"/>
    <w:rsid w:val="00FC34CE"/>
    <w:rsid w:val="00FC7A26"/>
    <w:rsid w:val="00FD25DA"/>
    <w:rsid w:val="00FD38AB"/>
    <w:rsid w:val="00FD7B30"/>
    <w:rsid w:val="00FD7FAD"/>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C1E36"/>
  <w15:chartTrackingRefBased/>
  <w15:docId w15:val="{20C6BDA7-F523-4D97-8568-E77ED400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921"/>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link w:val="HeaderChar"/>
    <w:uiPriority w:val="99"/>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2F4921"/>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1944</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4</cp:revision>
  <dcterms:created xsi:type="dcterms:W3CDTF">2025-02-05T17:48:00Z</dcterms:created>
  <dcterms:modified xsi:type="dcterms:W3CDTF">2025-02-21T17:09:00Z</dcterms:modified>
</cp:coreProperties>
</file>