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74" w:rsidRPr="005C5E74" w:rsidRDefault="005C5E74" w:rsidP="005C5E74">
      <w:pPr>
        <w:rPr>
          <w:b/>
        </w:rPr>
      </w:pPr>
      <w:bookmarkStart w:id="0" w:name="_GoBack"/>
      <w:bookmarkEnd w:id="0"/>
    </w:p>
    <w:p w:rsidR="005C5E74" w:rsidRDefault="005C5E74" w:rsidP="005C5E74">
      <w:r w:rsidRPr="005C5E74">
        <w:rPr>
          <w:b/>
        </w:rPr>
        <w:t>Section 146.690  Reporting Requirements</w:t>
      </w:r>
    </w:p>
    <w:p w:rsidR="005C5E74" w:rsidRDefault="005C5E74" w:rsidP="005C5E74"/>
    <w:p w:rsidR="005C5E74" w:rsidRDefault="005C5E74" w:rsidP="005C5E74">
      <w:pPr>
        <w:ind w:left="1440" w:hanging="720"/>
      </w:pPr>
      <w:r>
        <w:t>a)</w:t>
      </w:r>
      <w:r>
        <w:tab/>
        <w:t>Costs for the dementia care unit shall be included in the cost report required under Section 146.265(c)(4); however, for purposes of this pilot, the SLF with a dementia care unit shall also submit a separate cost report reflecting only the costs associated with the dementia care unit.</w:t>
      </w:r>
    </w:p>
    <w:p w:rsidR="005C5E74" w:rsidRDefault="005C5E74" w:rsidP="005C5E74"/>
    <w:p w:rsidR="005C5E74" w:rsidRDefault="005C5E74" w:rsidP="005C5E74">
      <w:pPr>
        <w:ind w:left="1440" w:hanging="720"/>
      </w:pPr>
      <w:r>
        <w:t>b)</w:t>
      </w:r>
      <w:r>
        <w:tab/>
        <w:t>Residents of the dementia care unit shall be identified separately when submitting the Resident Identification Report required in Section 146.265.</w:t>
      </w:r>
    </w:p>
    <w:p w:rsidR="005C5E74" w:rsidRDefault="005C5E74" w:rsidP="005C5E74"/>
    <w:p w:rsidR="005C5E74" w:rsidRDefault="005C5E74" w:rsidP="005C5E74">
      <w:pPr>
        <w:ind w:left="1440" w:hanging="720"/>
      </w:pPr>
      <w:r>
        <w:t>c)</w:t>
      </w:r>
      <w:r>
        <w:tab/>
        <w:t>The Department reserves the right to request periodic reporting to assist with evaluation of the pilot.</w:t>
      </w:r>
    </w:p>
    <w:p w:rsidR="005C5E74" w:rsidRDefault="005C5E74" w:rsidP="005C5E74"/>
    <w:p w:rsidR="005C5E74" w:rsidRPr="00D55B37" w:rsidRDefault="005C5E74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2E4A05">
        <w:t>11803</w:t>
      </w:r>
      <w:r w:rsidRPr="00D55B37">
        <w:t xml:space="preserve">, effective </w:t>
      </w:r>
      <w:r w:rsidR="002E4A05">
        <w:t>August 1, 2009</w:t>
      </w:r>
      <w:r w:rsidRPr="00D55B37">
        <w:t>)</w:t>
      </w:r>
    </w:p>
    <w:sectPr w:rsidR="005C5E7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32" w:rsidRDefault="00504E32">
      <w:r>
        <w:separator/>
      </w:r>
    </w:p>
  </w:endnote>
  <w:endnote w:type="continuationSeparator" w:id="0">
    <w:p w:rsidR="00504E32" w:rsidRDefault="0050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32" w:rsidRDefault="00504E32">
      <w:r>
        <w:separator/>
      </w:r>
    </w:p>
  </w:footnote>
  <w:footnote w:type="continuationSeparator" w:id="0">
    <w:p w:rsidR="00504E32" w:rsidRDefault="0050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5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B96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4A05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216"/>
    <w:rsid w:val="005039E7"/>
    <w:rsid w:val="00504E32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E74"/>
    <w:rsid w:val="005C7438"/>
    <w:rsid w:val="005D35F3"/>
    <w:rsid w:val="005E03A7"/>
    <w:rsid w:val="005E3D55"/>
    <w:rsid w:val="005F2891"/>
    <w:rsid w:val="00604BCE"/>
    <w:rsid w:val="0060631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584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5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5C5E74"/>
    <w:pPr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5C5E74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