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59" w:rsidRDefault="00135B59" w:rsidP="00F923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5B59" w:rsidRDefault="00135B59" w:rsidP="00F923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140.572  Total Capital Rate</w:t>
      </w:r>
      <w:r>
        <w:t xml:space="preserve"> </w:t>
      </w:r>
    </w:p>
    <w:p w:rsidR="00135B59" w:rsidRDefault="00135B59" w:rsidP="00F92336">
      <w:pPr>
        <w:widowControl w:val="0"/>
        <w:autoSpaceDE w:val="0"/>
        <w:autoSpaceDN w:val="0"/>
        <w:adjustRightInd w:val="0"/>
      </w:pPr>
    </w:p>
    <w:p w:rsidR="00135B59" w:rsidRDefault="00135B59" w:rsidP="00F92336">
      <w:pPr>
        <w:widowControl w:val="0"/>
        <w:autoSpaceDE w:val="0"/>
        <w:autoSpaceDN w:val="0"/>
        <w:adjustRightInd w:val="0"/>
      </w:pPr>
      <w:r>
        <w:t xml:space="preserve">The total capital rate will be the rate from Section 140.571(b)(4), plus the property tax rate from Section 140.578(b). </w:t>
      </w:r>
    </w:p>
    <w:p w:rsidR="00135B59" w:rsidRDefault="00135B59" w:rsidP="00F92336">
      <w:pPr>
        <w:widowControl w:val="0"/>
        <w:autoSpaceDE w:val="0"/>
        <w:autoSpaceDN w:val="0"/>
        <w:adjustRightInd w:val="0"/>
      </w:pPr>
    </w:p>
    <w:p w:rsidR="00135B59" w:rsidRDefault="00135B59" w:rsidP="00F9233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19146, effective December 1, 1992) </w:t>
      </w:r>
    </w:p>
    <w:sectPr w:rsidR="00135B59" w:rsidSect="00F9233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B59"/>
    <w:rsid w:val="00135B59"/>
    <w:rsid w:val="00422952"/>
    <w:rsid w:val="008B591B"/>
    <w:rsid w:val="00A90350"/>
    <w:rsid w:val="00F9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