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BA28A" w14:textId="77777777" w:rsidR="007D3C35" w:rsidRDefault="007D3C35" w:rsidP="007D3C35">
      <w:pPr>
        <w:widowControl w:val="0"/>
        <w:autoSpaceDE w:val="0"/>
        <w:autoSpaceDN w:val="0"/>
        <w:adjustRightInd w:val="0"/>
      </w:pPr>
    </w:p>
    <w:p w14:paraId="09A77575" w14:textId="77777777" w:rsidR="007D3C35" w:rsidRDefault="007D3C35" w:rsidP="007D3C35">
      <w:pPr>
        <w:widowControl w:val="0"/>
        <w:autoSpaceDE w:val="0"/>
        <w:autoSpaceDN w:val="0"/>
        <w:adjustRightInd w:val="0"/>
      </w:pPr>
      <w:r>
        <w:rPr>
          <w:b/>
          <w:bCs/>
        </w:rPr>
        <w:t>Section 140.488  Periodicity Schedules, Immunizations and Diagnostic Laboratory Procedures</w:t>
      </w:r>
      <w:r>
        <w:t xml:space="preserve"> </w:t>
      </w:r>
    </w:p>
    <w:p w14:paraId="7851BD93" w14:textId="77777777" w:rsidR="007D3C35" w:rsidRDefault="007D3C35" w:rsidP="007D3C35">
      <w:pPr>
        <w:widowControl w:val="0"/>
        <w:autoSpaceDE w:val="0"/>
        <w:autoSpaceDN w:val="0"/>
        <w:adjustRightInd w:val="0"/>
      </w:pPr>
    </w:p>
    <w:p w14:paraId="72E2B9D1" w14:textId="77777777" w:rsidR="007D3C35" w:rsidRDefault="007D3C35" w:rsidP="007D3C35">
      <w:pPr>
        <w:widowControl w:val="0"/>
        <w:autoSpaceDE w:val="0"/>
        <w:autoSpaceDN w:val="0"/>
        <w:adjustRightInd w:val="0"/>
        <w:ind w:left="1440" w:hanging="720"/>
      </w:pPr>
      <w:r>
        <w:t>a)</w:t>
      </w:r>
      <w:r>
        <w:tab/>
        <w:t xml:space="preserve">Health Screening Periodicity Schedule.  Eligible clients may receive one periodic health screening during each of the following time periods, except a second screening may be given as explained in Section 140.485(d)(2): </w:t>
      </w:r>
    </w:p>
    <w:p w14:paraId="7EFF8C38" w14:textId="77777777" w:rsidR="007D3C35" w:rsidRDefault="007D3C35" w:rsidP="007D3C35"/>
    <w:p w14:paraId="2CB345F1" w14:textId="77777777" w:rsidR="007D3C35" w:rsidRDefault="007D3C35" w:rsidP="007D3C35">
      <w:pPr>
        <w:widowControl w:val="0"/>
        <w:autoSpaceDE w:val="0"/>
        <w:autoSpaceDN w:val="0"/>
        <w:adjustRightInd w:val="0"/>
        <w:ind w:left="720" w:firstLine="720"/>
      </w:pPr>
      <w:r>
        <w:t>1)</w:t>
      </w:r>
      <w:r>
        <w:tab/>
        <w:t xml:space="preserve">birth to two weeks; </w:t>
      </w:r>
    </w:p>
    <w:p w14:paraId="748F034B" w14:textId="77777777" w:rsidR="007D3C35" w:rsidRDefault="007D3C35" w:rsidP="007D3C35"/>
    <w:p w14:paraId="2D7E3ECC" w14:textId="77777777" w:rsidR="007D3C35" w:rsidRDefault="007D3C35" w:rsidP="007D3C35">
      <w:pPr>
        <w:widowControl w:val="0"/>
        <w:autoSpaceDE w:val="0"/>
        <w:autoSpaceDN w:val="0"/>
        <w:adjustRightInd w:val="0"/>
        <w:ind w:left="720" w:firstLine="720"/>
      </w:pPr>
      <w:r>
        <w:t>2)</w:t>
      </w:r>
      <w:r>
        <w:tab/>
        <w:t xml:space="preserve">two weeks to one month; </w:t>
      </w:r>
    </w:p>
    <w:p w14:paraId="5F3BD6F9" w14:textId="77777777" w:rsidR="007D3C35" w:rsidRDefault="007D3C35" w:rsidP="007D3C35"/>
    <w:p w14:paraId="15B2F782" w14:textId="77777777" w:rsidR="007D3C35" w:rsidRDefault="007D3C35" w:rsidP="007D3C35">
      <w:pPr>
        <w:widowControl w:val="0"/>
        <w:autoSpaceDE w:val="0"/>
        <w:autoSpaceDN w:val="0"/>
        <w:adjustRightInd w:val="0"/>
        <w:ind w:left="720" w:firstLine="720"/>
      </w:pPr>
      <w:r>
        <w:t>3)</w:t>
      </w:r>
      <w:r>
        <w:tab/>
        <w:t xml:space="preserve">one to two months; </w:t>
      </w:r>
    </w:p>
    <w:p w14:paraId="0DCE0308" w14:textId="77777777" w:rsidR="007D3C35" w:rsidRDefault="007D3C35" w:rsidP="007D3C35"/>
    <w:p w14:paraId="3357045A" w14:textId="77777777" w:rsidR="007D3C35" w:rsidRDefault="007D3C35" w:rsidP="007D3C35">
      <w:pPr>
        <w:widowControl w:val="0"/>
        <w:autoSpaceDE w:val="0"/>
        <w:autoSpaceDN w:val="0"/>
        <w:adjustRightInd w:val="0"/>
        <w:ind w:left="720" w:firstLine="720"/>
      </w:pPr>
      <w:r>
        <w:t>4)</w:t>
      </w:r>
      <w:r>
        <w:tab/>
        <w:t xml:space="preserve">two to four months; </w:t>
      </w:r>
    </w:p>
    <w:p w14:paraId="2C4EBE3F" w14:textId="77777777" w:rsidR="007D3C35" w:rsidRDefault="007D3C35" w:rsidP="007D3C35"/>
    <w:p w14:paraId="63E550A6" w14:textId="77777777" w:rsidR="007D3C35" w:rsidRDefault="007D3C35" w:rsidP="007D3C35">
      <w:pPr>
        <w:widowControl w:val="0"/>
        <w:autoSpaceDE w:val="0"/>
        <w:autoSpaceDN w:val="0"/>
        <w:adjustRightInd w:val="0"/>
        <w:ind w:left="720" w:firstLine="720"/>
      </w:pPr>
      <w:r>
        <w:t>5)</w:t>
      </w:r>
      <w:r>
        <w:tab/>
        <w:t xml:space="preserve">four to six months; </w:t>
      </w:r>
    </w:p>
    <w:p w14:paraId="6F53E15E" w14:textId="77777777" w:rsidR="007D3C35" w:rsidRDefault="007D3C35" w:rsidP="007D3C35"/>
    <w:p w14:paraId="7FF9D705" w14:textId="77777777" w:rsidR="007D3C35" w:rsidRDefault="007D3C35" w:rsidP="007D3C35">
      <w:pPr>
        <w:widowControl w:val="0"/>
        <w:autoSpaceDE w:val="0"/>
        <w:autoSpaceDN w:val="0"/>
        <w:adjustRightInd w:val="0"/>
        <w:ind w:left="720" w:firstLine="720"/>
      </w:pPr>
      <w:r>
        <w:t>6)</w:t>
      </w:r>
      <w:r>
        <w:tab/>
        <w:t xml:space="preserve">six to nine months; </w:t>
      </w:r>
    </w:p>
    <w:p w14:paraId="2EBACF08" w14:textId="77777777" w:rsidR="007D3C35" w:rsidRDefault="007D3C35" w:rsidP="007D3C35"/>
    <w:p w14:paraId="4FA53541" w14:textId="77777777" w:rsidR="007D3C35" w:rsidRDefault="007D3C35" w:rsidP="007D3C35">
      <w:pPr>
        <w:widowControl w:val="0"/>
        <w:autoSpaceDE w:val="0"/>
        <w:autoSpaceDN w:val="0"/>
        <w:adjustRightInd w:val="0"/>
        <w:ind w:left="720" w:firstLine="720"/>
      </w:pPr>
      <w:r>
        <w:t>7)</w:t>
      </w:r>
      <w:r>
        <w:tab/>
        <w:t xml:space="preserve">nine to 12 months; </w:t>
      </w:r>
    </w:p>
    <w:p w14:paraId="0FF8E62B" w14:textId="77777777" w:rsidR="007D3C35" w:rsidRDefault="007D3C35" w:rsidP="007D3C35"/>
    <w:p w14:paraId="5AA2B425" w14:textId="77777777" w:rsidR="007D3C35" w:rsidRDefault="007D3C35" w:rsidP="007D3C35">
      <w:pPr>
        <w:widowControl w:val="0"/>
        <w:autoSpaceDE w:val="0"/>
        <w:autoSpaceDN w:val="0"/>
        <w:adjustRightInd w:val="0"/>
        <w:ind w:left="720" w:firstLine="720"/>
      </w:pPr>
      <w:r>
        <w:t>8)</w:t>
      </w:r>
      <w:r>
        <w:tab/>
        <w:t xml:space="preserve">12 to 15 months; </w:t>
      </w:r>
    </w:p>
    <w:p w14:paraId="2EE5D5F2" w14:textId="77777777" w:rsidR="007D3C35" w:rsidRDefault="007D3C35" w:rsidP="007D3C35"/>
    <w:p w14:paraId="424D6AF9" w14:textId="77777777" w:rsidR="007D3C35" w:rsidRDefault="007D3C35" w:rsidP="007D3C35">
      <w:pPr>
        <w:widowControl w:val="0"/>
        <w:autoSpaceDE w:val="0"/>
        <w:autoSpaceDN w:val="0"/>
        <w:adjustRightInd w:val="0"/>
        <w:ind w:left="720" w:firstLine="720"/>
      </w:pPr>
      <w:r>
        <w:t>9)</w:t>
      </w:r>
      <w:r>
        <w:tab/>
        <w:t xml:space="preserve">15 to 18 months; </w:t>
      </w:r>
    </w:p>
    <w:p w14:paraId="2F0DA5EE" w14:textId="77777777" w:rsidR="007D3C35" w:rsidRDefault="007D3C35" w:rsidP="007D3C35"/>
    <w:p w14:paraId="39A35C46" w14:textId="77777777" w:rsidR="007D3C35" w:rsidRDefault="007D3C35" w:rsidP="007D3C35">
      <w:pPr>
        <w:widowControl w:val="0"/>
        <w:autoSpaceDE w:val="0"/>
        <w:autoSpaceDN w:val="0"/>
        <w:adjustRightInd w:val="0"/>
        <w:ind w:left="2166" w:hanging="855"/>
      </w:pPr>
      <w:r>
        <w:t>10)</w:t>
      </w:r>
      <w:r>
        <w:tab/>
        <w:t xml:space="preserve">18 to 24 months; </w:t>
      </w:r>
    </w:p>
    <w:p w14:paraId="4B17C7D7" w14:textId="77777777" w:rsidR="007D3C35" w:rsidRDefault="007D3C35" w:rsidP="007D3C35"/>
    <w:p w14:paraId="6A5A57D9" w14:textId="77777777" w:rsidR="007D3C35" w:rsidRDefault="007D3C35" w:rsidP="007D3C35">
      <w:pPr>
        <w:widowControl w:val="0"/>
        <w:autoSpaceDE w:val="0"/>
        <w:autoSpaceDN w:val="0"/>
        <w:adjustRightInd w:val="0"/>
        <w:ind w:left="2166" w:hanging="855"/>
      </w:pPr>
      <w:r>
        <w:t>11)</w:t>
      </w:r>
      <w:r>
        <w:tab/>
        <w:t xml:space="preserve">two to three years; </w:t>
      </w:r>
    </w:p>
    <w:p w14:paraId="26E90A62" w14:textId="77777777" w:rsidR="007D3C35" w:rsidRDefault="007D3C35" w:rsidP="007D3C35"/>
    <w:p w14:paraId="55401051" w14:textId="77777777" w:rsidR="007D3C35" w:rsidRDefault="007D3C35" w:rsidP="007D3C35">
      <w:pPr>
        <w:widowControl w:val="0"/>
        <w:autoSpaceDE w:val="0"/>
        <w:autoSpaceDN w:val="0"/>
        <w:adjustRightInd w:val="0"/>
        <w:ind w:left="2166" w:hanging="855"/>
      </w:pPr>
      <w:r>
        <w:t>12)</w:t>
      </w:r>
      <w:r>
        <w:tab/>
        <w:t xml:space="preserve">three to four years; </w:t>
      </w:r>
    </w:p>
    <w:p w14:paraId="15BECE8B" w14:textId="77777777" w:rsidR="007D3C35" w:rsidRDefault="007D3C35" w:rsidP="007D3C35"/>
    <w:p w14:paraId="5406592D" w14:textId="77777777" w:rsidR="007D3C35" w:rsidRDefault="007D3C35" w:rsidP="007D3C35">
      <w:pPr>
        <w:widowControl w:val="0"/>
        <w:autoSpaceDE w:val="0"/>
        <w:autoSpaceDN w:val="0"/>
        <w:adjustRightInd w:val="0"/>
        <w:ind w:left="2166" w:hanging="855"/>
      </w:pPr>
      <w:r>
        <w:t>13)</w:t>
      </w:r>
      <w:r>
        <w:tab/>
        <w:t xml:space="preserve">four to five years; </w:t>
      </w:r>
    </w:p>
    <w:p w14:paraId="1297F369" w14:textId="77777777" w:rsidR="007D3C35" w:rsidRDefault="007D3C35" w:rsidP="007D3C35"/>
    <w:p w14:paraId="6A61B15F" w14:textId="77777777" w:rsidR="007D3C35" w:rsidRDefault="007D3C35" w:rsidP="007D3C35">
      <w:pPr>
        <w:widowControl w:val="0"/>
        <w:autoSpaceDE w:val="0"/>
        <w:autoSpaceDN w:val="0"/>
        <w:adjustRightInd w:val="0"/>
        <w:ind w:left="2166" w:hanging="855"/>
      </w:pPr>
      <w:r>
        <w:t>14)</w:t>
      </w:r>
      <w:r>
        <w:tab/>
        <w:t xml:space="preserve">five to six years; </w:t>
      </w:r>
    </w:p>
    <w:p w14:paraId="40DE8C7D" w14:textId="77777777" w:rsidR="007D3C35" w:rsidRDefault="007D3C35" w:rsidP="007D3C35"/>
    <w:p w14:paraId="34C05E5E" w14:textId="77777777" w:rsidR="007D3C35" w:rsidRDefault="007D3C35" w:rsidP="007D3C35">
      <w:pPr>
        <w:widowControl w:val="0"/>
        <w:autoSpaceDE w:val="0"/>
        <w:autoSpaceDN w:val="0"/>
        <w:adjustRightInd w:val="0"/>
        <w:ind w:left="2166" w:hanging="855"/>
      </w:pPr>
      <w:r>
        <w:t>15)</w:t>
      </w:r>
      <w:r>
        <w:tab/>
        <w:t xml:space="preserve">six to eight years; </w:t>
      </w:r>
    </w:p>
    <w:p w14:paraId="52F11683" w14:textId="77777777" w:rsidR="007D3C35" w:rsidRDefault="007D3C35" w:rsidP="007D3C35"/>
    <w:p w14:paraId="05F97BAE" w14:textId="77777777" w:rsidR="007D3C35" w:rsidRDefault="007D3C35" w:rsidP="007D3C35">
      <w:pPr>
        <w:widowControl w:val="0"/>
        <w:autoSpaceDE w:val="0"/>
        <w:autoSpaceDN w:val="0"/>
        <w:adjustRightInd w:val="0"/>
        <w:ind w:left="2166" w:hanging="855"/>
      </w:pPr>
      <w:r>
        <w:t>16)</w:t>
      </w:r>
      <w:r>
        <w:tab/>
        <w:t xml:space="preserve">eight to 10 years; </w:t>
      </w:r>
    </w:p>
    <w:p w14:paraId="4F0A7EC1" w14:textId="77777777" w:rsidR="007D3C35" w:rsidRDefault="007D3C35" w:rsidP="007D3C35"/>
    <w:p w14:paraId="60AD82F6" w14:textId="77777777" w:rsidR="007D3C35" w:rsidRDefault="007D3C35" w:rsidP="007D3C35">
      <w:pPr>
        <w:widowControl w:val="0"/>
        <w:autoSpaceDE w:val="0"/>
        <w:autoSpaceDN w:val="0"/>
        <w:adjustRightInd w:val="0"/>
        <w:ind w:left="2166" w:hanging="855"/>
      </w:pPr>
      <w:r>
        <w:t>17)</w:t>
      </w:r>
      <w:r>
        <w:tab/>
        <w:t xml:space="preserve">10 to 12 years; </w:t>
      </w:r>
    </w:p>
    <w:p w14:paraId="7B85F0D4" w14:textId="77777777" w:rsidR="007D3C35" w:rsidRDefault="007D3C35" w:rsidP="007D3C35"/>
    <w:p w14:paraId="5C74F092" w14:textId="77777777" w:rsidR="007D3C35" w:rsidRDefault="007D3C35" w:rsidP="007D3C35">
      <w:pPr>
        <w:widowControl w:val="0"/>
        <w:autoSpaceDE w:val="0"/>
        <w:autoSpaceDN w:val="0"/>
        <w:adjustRightInd w:val="0"/>
        <w:ind w:left="2166" w:hanging="855"/>
      </w:pPr>
      <w:r>
        <w:t>18)</w:t>
      </w:r>
      <w:r>
        <w:tab/>
        <w:t xml:space="preserve">12 to 14 years; </w:t>
      </w:r>
    </w:p>
    <w:p w14:paraId="0D3DFF1D" w14:textId="77777777" w:rsidR="007D3C35" w:rsidRDefault="007D3C35" w:rsidP="007D3C35"/>
    <w:p w14:paraId="1E70A87F" w14:textId="77777777" w:rsidR="007D3C35" w:rsidRDefault="007D3C35" w:rsidP="007D3C35">
      <w:pPr>
        <w:widowControl w:val="0"/>
        <w:autoSpaceDE w:val="0"/>
        <w:autoSpaceDN w:val="0"/>
        <w:adjustRightInd w:val="0"/>
        <w:ind w:left="2166" w:hanging="855"/>
      </w:pPr>
      <w:r>
        <w:t>19)</w:t>
      </w:r>
      <w:r>
        <w:tab/>
        <w:t xml:space="preserve">14 to 16 years; </w:t>
      </w:r>
    </w:p>
    <w:p w14:paraId="62FCC303" w14:textId="77777777" w:rsidR="007D3C35" w:rsidRDefault="007D3C35" w:rsidP="007D3C35"/>
    <w:p w14:paraId="15D230BF" w14:textId="77777777" w:rsidR="007D3C35" w:rsidRDefault="007D3C35" w:rsidP="007D3C35">
      <w:pPr>
        <w:widowControl w:val="0"/>
        <w:autoSpaceDE w:val="0"/>
        <w:autoSpaceDN w:val="0"/>
        <w:adjustRightInd w:val="0"/>
        <w:ind w:left="2166" w:hanging="855"/>
      </w:pPr>
      <w:r>
        <w:lastRenderedPageBreak/>
        <w:t>20)</w:t>
      </w:r>
      <w:r>
        <w:tab/>
        <w:t xml:space="preserve">16 to 18 years; and </w:t>
      </w:r>
    </w:p>
    <w:p w14:paraId="3BA4BD05" w14:textId="77777777" w:rsidR="007D3C35" w:rsidRDefault="007D3C35" w:rsidP="007D3C35"/>
    <w:p w14:paraId="39F4340C" w14:textId="77777777" w:rsidR="007D3C35" w:rsidRDefault="007D3C35" w:rsidP="007D3C35">
      <w:pPr>
        <w:widowControl w:val="0"/>
        <w:autoSpaceDE w:val="0"/>
        <w:autoSpaceDN w:val="0"/>
        <w:adjustRightInd w:val="0"/>
        <w:ind w:left="2166" w:hanging="855"/>
      </w:pPr>
      <w:r>
        <w:t>21)</w:t>
      </w:r>
      <w:r>
        <w:tab/>
        <w:t xml:space="preserve">18 to 21 years. </w:t>
      </w:r>
    </w:p>
    <w:p w14:paraId="687D71EB" w14:textId="77777777" w:rsidR="007D3C35" w:rsidRDefault="007D3C35" w:rsidP="007D3C35"/>
    <w:p w14:paraId="2F88421A" w14:textId="77777777" w:rsidR="007D3C35" w:rsidRDefault="007D3C35" w:rsidP="007D3C35">
      <w:pPr>
        <w:widowControl w:val="0"/>
        <w:autoSpaceDE w:val="0"/>
        <w:autoSpaceDN w:val="0"/>
        <w:adjustRightInd w:val="0"/>
        <w:ind w:firstLine="720"/>
      </w:pPr>
      <w:r>
        <w:t>b)</w:t>
      </w:r>
      <w:r>
        <w:tab/>
        <w:t xml:space="preserve">Vision Screening Periodicity Schedule </w:t>
      </w:r>
    </w:p>
    <w:p w14:paraId="195CB158" w14:textId="77777777" w:rsidR="007D3C35" w:rsidRDefault="007D3C35" w:rsidP="007D3C35"/>
    <w:p w14:paraId="140C44E7" w14:textId="77777777" w:rsidR="007D3C35" w:rsidRDefault="007D3C35" w:rsidP="007D3C35">
      <w:pPr>
        <w:widowControl w:val="0"/>
        <w:autoSpaceDE w:val="0"/>
        <w:autoSpaceDN w:val="0"/>
        <w:adjustRightInd w:val="0"/>
        <w:ind w:left="2160" w:hanging="720"/>
      </w:pPr>
      <w:r>
        <w:t>1)</w:t>
      </w:r>
      <w:r>
        <w:tab/>
        <w:t xml:space="preserve">Vision screening using age appropriate methods shall be part of all periodic or interperiodic health screenings. </w:t>
      </w:r>
    </w:p>
    <w:p w14:paraId="35BC13C8" w14:textId="77777777" w:rsidR="007D3C35" w:rsidRDefault="007D3C35" w:rsidP="007D3C35"/>
    <w:p w14:paraId="0B4FAC89" w14:textId="77777777" w:rsidR="007D3C35" w:rsidRDefault="007D3C35" w:rsidP="007D3C35">
      <w:pPr>
        <w:widowControl w:val="0"/>
        <w:autoSpaceDE w:val="0"/>
        <w:autoSpaceDN w:val="0"/>
        <w:adjustRightInd w:val="0"/>
        <w:ind w:left="2160" w:hanging="720"/>
      </w:pPr>
      <w:r>
        <w:t>2)</w:t>
      </w:r>
      <w:r>
        <w:tab/>
        <w:t xml:space="preserve">Beginning at age three through 20 years, the Department will pay for one vision screening performed by a qualified provider per year for an eligible child.  However, the Department will pay for other such screenings when medically necessary, regardless of a child's age or medical history. </w:t>
      </w:r>
    </w:p>
    <w:p w14:paraId="0A9AC52F" w14:textId="77777777" w:rsidR="007D3C35" w:rsidRDefault="007D3C35" w:rsidP="007D3C35"/>
    <w:p w14:paraId="6E8B6580" w14:textId="77777777" w:rsidR="007D3C35" w:rsidRDefault="007D3C35" w:rsidP="007D3C35">
      <w:pPr>
        <w:widowControl w:val="0"/>
        <w:autoSpaceDE w:val="0"/>
        <w:autoSpaceDN w:val="0"/>
        <w:adjustRightInd w:val="0"/>
        <w:ind w:firstLine="720"/>
      </w:pPr>
      <w:r>
        <w:t>c)</w:t>
      </w:r>
      <w:r>
        <w:tab/>
        <w:t xml:space="preserve">Hearing Screening Periodicity Schedule </w:t>
      </w:r>
    </w:p>
    <w:p w14:paraId="74C1E000" w14:textId="77777777" w:rsidR="007D3C35" w:rsidRDefault="007D3C35" w:rsidP="007D3C35"/>
    <w:p w14:paraId="4CBB4D9F" w14:textId="77777777" w:rsidR="007D3C35" w:rsidRDefault="007D3C35" w:rsidP="007D3C35">
      <w:pPr>
        <w:widowControl w:val="0"/>
        <w:autoSpaceDE w:val="0"/>
        <w:autoSpaceDN w:val="0"/>
        <w:adjustRightInd w:val="0"/>
        <w:ind w:left="2160" w:hanging="720"/>
      </w:pPr>
      <w:r>
        <w:t>1)</w:t>
      </w:r>
      <w:r>
        <w:tab/>
        <w:t xml:space="preserve">Hearing screening using age appropriate methods shall be part of all periodic or interperiodic health screenings. </w:t>
      </w:r>
    </w:p>
    <w:p w14:paraId="489D9CB6" w14:textId="77777777" w:rsidR="007D3C35" w:rsidRDefault="007D3C35" w:rsidP="007D3C35"/>
    <w:p w14:paraId="6191C4B0" w14:textId="77777777" w:rsidR="007D3C35" w:rsidRDefault="007D3C35" w:rsidP="007D3C35">
      <w:pPr>
        <w:widowControl w:val="0"/>
        <w:autoSpaceDE w:val="0"/>
        <w:autoSpaceDN w:val="0"/>
        <w:adjustRightInd w:val="0"/>
        <w:ind w:left="2160" w:hanging="720"/>
      </w:pPr>
      <w:r>
        <w:t>2)</w:t>
      </w:r>
      <w:r>
        <w:tab/>
        <w:t xml:space="preserve">Beginning at age one year for children at high risk for hearing problems and age three years for all other children, the Department will pay for one hearing screening performed by a qualified provider per year for an eligible child.  However, the Department will pay for other such screenings when medically necessary, regardless of a child's age or medical history. </w:t>
      </w:r>
    </w:p>
    <w:p w14:paraId="30337439" w14:textId="77777777" w:rsidR="007D3C35" w:rsidRDefault="007D3C35" w:rsidP="007D3C35"/>
    <w:p w14:paraId="40FE71D8" w14:textId="77777777" w:rsidR="007D3C35" w:rsidRDefault="007D3C35" w:rsidP="007D3C35">
      <w:pPr>
        <w:widowControl w:val="0"/>
        <w:autoSpaceDE w:val="0"/>
        <w:autoSpaceDN w:val="0"/>
        <w:adjustRightInd w:val="0"/>
        <w:ind w:firstLine="720"/>
      </w:pPr>
      <w:r>
        <w:t>d)</w:t>
      </w:r>
      <w:r>
        <w:tab/>
        <w:t xml:space="preserve">Dental Screenings Periodicity Schedule </w:t>
      </w:r>
    </w:p>
    <w:p w14:paraId="7C623BB7" w14:textId="77777777" w:rsidR="007D3C35" w:rsidRDefault="007D3C35" w:rsidP="007D3C35"/>
    <w:p w14:paraId="5F99C9EC" w14:textId="77777777" w:rsidR="007D3C35" w:rsidRDefault="007D3C35" w:rsidP="007D3C35">
      <w:pPr>
        <w:widowControl w:val="0"/>
        <w:autoSpaceDE w:val="0"/>
        <w:autoSpaceDN w:val="0"/>
        <w:adjustRightInd w:val="0"/>
        <w:ind w:left="2160" w:hanging="720"/>
      </w:pPr>
      <w:r>
        <w:t>1)</w:t>
      </w:r>
      <w:r>
        <w:tab/>
        <w:t xml:space="preserve">Effective for dates of service on or after July 1, 2014, the dental periodicity schedule is available at the Department's website at </w:t>
      </w:r>
      <w:r w:rsidRPr="00150A31">
        <w:t>http://www2.illinois.gov/hfs/MedicalProvider/MedicaidReimbursement/</w:t>
      </w:r>
    </w:p>
    <w:p w14:paraId="29E4590C" w14:textId="77777777" w:rsidR="007D3C35" w:rsidRDefault="007D3C35" w:rsidP="007D3C35">
      <w:pPr>
        <w:widowControl w:val="0"/>
        <w:autoSpaceDE w:val="0"/>
        <w:autoSpaceDN w:val="0"/>
        <w:adjustRightInd w:val="0"/>
        <w:ind w:left="2160"/>
      </w:pPr>
      <w:r w:rsidRPr="008E348C">
        <w:t>Pages/Dental.aspx</w:t>
      </w:r>
      <w:r>
        <w:t xml:space="preserve">.  Examination of a child's oral cavity, including the status of the teeth and gums, shall be part of each periodic or interperiodic health screening. </w:t>
      </w:r>
    </w:p>
    <w:p w14:paraId="3838F3EE" w14:textId="77777777" w:rsidR="007D3C35" w:rsidRDefault="007D3C35" w:rsidP="007D3C35"/>
    <w:p w14:paraId="7BF2D1BE" w14:textId="77777777" w:rsidR="007D3C35" w:rsidRDefault="007D3C35" w:rsidP="007D3C35">
      <w:pPr>
        <w:widowControl w:val="0"/>
        <w:autoSpaceDE w:val="0"/>
        <w:autoSpaceDN w:val="0"/>
        <w:adjustRightInd w:val="0"/>
        <w:ind w:left="2160" w:hanging="720"/>
      </w:pPr>
      <w:r>
        <w:t>2)</w:t>
      </w:r>
      <w:r>
        <w:tab/>
        <w:t xml:space="preserve">Effective for dates of service on or after July 1, 2014, beginning at age one through 20 years, the Department will pay for one clinical oral examination and one oral prophylaxis not more frequently than once every six months performed by an enrolled dentist.  However, the Department will pay for additional services when medically necessary, regardless of a child's age or medical history. </w:t>
      </w:r>
    </w:p>
    <w:p w14:paraId="2D654F86" w14:textId="77777777" w:rsidR="007D3C35" w:rsidRDefault="007D3C35" w:rsidP="007D3C35"/>
    <w:p w14:paraId="22A897EE" w14:textId="1E7B0FAF" w:rsidR="007D3C35" w:rsidRDefault="007D3C35" w:rsidP="00A83D8D">
      <w:pPr>
        <w:widowControl w:val="0"/>
        <w:autoSpaceDE w:val="0"/>
        <w:autoSpaceDN w:val="0"/>
        <w:adjustRightInd w:val="0"/>
        <w:ind w:left="1440" w:hanging="720"/>
      </w:pPr>
      <w:r>
        <w:t>e)</w:t>
      </w:r>
      <w:r>
        <w:tab/>
        <w:t xml:space="preserve">Immunizations. </w:t>
      </w:r>
    </w:p>
    <w:p w14:paraId="38D94D8B" w14:textId="77777777" w:rsidR="007D3C35" w:rsidRDefault="007D3C35" w:rsidP="007D3C35"/>
    <w:p w14:paraId="03809D4C" w14:textId="78F6227B" w:rsidR="007D3C35" w:rsidRDefault="007D3C35" w:rsidP="00A83D8D">
      <w:pPr>
        <w:widowControl w:val="0"/>
        <w:autoSpaceDE w:val="0"/>
        <w:autoSpaceDN w:val="0"/>
        <w:adjustRightInd w:val="0"/>
        <w:ind w:left="2160" w:hanging="720"/>
      </w:pPr>
      <w:r>
        <w:t>1)</w:t>
      </w:r>
      <w:r>
        <w:tab/>
      </w:r>
      <w:r w:rsidR="00295F03">
        <w:t>Immunization</w:t>
      </w:r>
      <w:r w:rsidR="00372D75">
        <w:t>s</w:t>
      </w:r>
      <w:r w:rsidR="00295F03">
        <w:t xml:space="preserve"> for children that are recommended by the Advisory Committee on Immunization Practices (ACIP) are covered without cost </w:t>
      </w:r>
      <w:r w:rsidR="00295F03">
        <w:lastRenderedPageBreak/>
        <w:t>sharing under 89 Ill. Adm. Code 140.402(d)(2).  Current ACIP child vaccine recommendations can be found at https://www.cdc.gov</w:t>
      </w:r>
      <w:r w:rsidR="00C67499">
        <w:t>/</w:t>
      </w:r>
      <w:r w:rsidR="00295F03">
        <w:t xml:space="preserve"> vaccines/hcp/imz-schedules/child-adoles</w:t>
      </w:r>
      <w:r w:rsidR="00C67499">
        <w:t>c</w:t>
      </w:r>
      <w:r w:rsidR="00295F03">
        <w:t>ent-age.html.</w:t>
      </w:r>
    </w:p>
    <w:p w14:paraId="781F313E" w14:textId="77777777" w:rsidR="007D3C35" w:rsidRDefault="007D3C35" w:rsidP="007D3C35"/>
    <w:p w14:paraId="5FB1000C" w14:textId="0538615B" w:rsidR="007D3C35" w:rsidRDefault="007D3C35" w:rsidP="00A83D8D">
      <w:pPr>
        <w:widowControl w:val="0"/>
        <w:autoSpaceDE w:val="0"/>
        <w:autoSpaceDN w:val="0"/>
        <w:adjustRightInd w:val="0"/>
        <w:ind w:left="2160" w:hanging="720"/>
      </w:pPr>
      <w:r>
        <w:t>2)</w:t>
      </w:r>
      <w:r>
        <w:tab/>
      </w:r>
      <w:bookmarkStart w:id="0" w:name="_Hlk168982289"/>
      <w:r w:rsidR="00295F03">
        <w:t xml:space="preserve">In compliance with </w:t>
      </w:r>
      <w:r w:rsidR="00372D75">
        <w:t>s</w:t>
      </w:r>
      <w:r w:rsidR="00295F03">
        <w:t xml:space="preserve">ection 1905(a)(13)(B) of the Social Security Act (42 U.S.C. 1396(d), and pursuant to 89 Ill. Adm. Code 140.402(e)(11), adult vaccines recommended by ACIP are also covered without cost sharing.  Current ACIP adult vaccine </w:t>
      </w:r>
      <w:r w:rsidR="00372D75">
        <w:t>recommendations are listed at https://www.cdc.gov/vaccines/hcp/imz-schedules/adult-age.html</w:t>
      </w:r>
      <w:r w:rsidR="00A83D8D" w:rsidRPr="00F278A8">
        <w:t>.</w:t>
      </w:r>
      <w:bookmarkEnd w:id="0"/>
      <w:r>
        <w:t xml:space="preserve"> </w:t>
      </w:r>
    </w:p>
    <w:p w14:paraId="56BC5E56" w14:textId="1CDB814C" w:rsidR="007D3C35" w:rsidRDefault="007D3C35" w:rsidP="003D37B7">
      <w:pPr>
        <w:widowControl w:val="0"/>
        <w:autoSpaceDE w:val="0"/>
        <w:autoSpaceDN w:val="0"/>
        <w:adjustRightInd w:val="0"/>
      </w:pPr>
    </w:p>
    <w:p w14:paraId="137BE089" w14:textId="6C00CC14" w:rsidR="007D3C35" w:rsidRDefault="007D3C35" w:rsidP="007D3C35">
      <w:pPr>
        <w:widowControl w:val="0"/>
        <w:autoSpaceDE w:val="0"/>
        <w:autoSpaceDN w:val="0"/>
        <w:adjustRightInd w:val="0"/>
        <w:ind w:left="1440" w:hanging="720"/>
      </w:pPr>
      <w:r>
        <w:t>f)</w:t>
      </w:r>
      <w:r>
        <w:tab/>
        <w:t xml:space="preserve">Diagnostic Laboratory Procedures.  The Department will pay for covered diagnostic laboratory procedures as medically necessary including but not limited to: </w:t>
      </w:r>
    </w:p>
    <w:p w14:paraId="1261B2B3" w14:textId="75A20D74" w:rsidR="007D3C35" w:rsidRDefault="007D3C35" w:rsidP="003D37B7">
      <w:pPr>
        <w:widowControl w:val="0"/>
        <w:autoSpaceDE w:val="0"/>
        <w:autoSpaceDN w:val="0"/>
        <w:adjustRightInd w:val="0"/>
      </w:pPr>
    </w:p>
    <w:p w14:paraId="49114914" w14:textId="22F9CEE6" w:rsidR="007D3C35" w:rsidRDefault="007D3C35" w:rsidP="007D3C35">
      <w:pPr>
        <w:widowControl w:val="0"/>
        <w:autoSpaceDE w:val="0"/>
        <w:autoSpaceDN w:val="0"/>
        <w:adjustRightInd w:val="0"/>
        <w:ind w:left="2160" w:hanging="720"/>
      </w:pPr>
      <w:r>
        <w:t>1)</w:t>
      </w:r>
      <w:r>
        <w:tab/>
        <w:t xml:space="preserve">Urinalysis, routine (ph specific gravity protein tests for reducing substances such as glucose), with microscopy; </w:t>
      </w:r>
    </w:p>
    <w:p w14:paraId="372D6C1E" w14:textId="64831B8E" w:rsidR="007D3C35" w:rsidRDefault="007D3C35" w:rsidP="003D37B7">
      <w:pPr>
        <w:widowControl w:val="0"/>
        <w:autoSpaceDE w:val="0"/>
        <w:autoSpaceDN w:val="0"/>
        <w:adjustRightInd w:val="0"/>
      </w:pPr>
    </w:p>
    <w:p w14:paraId="64998B4B" w14:textId="6EA96888" w:rsidR="007D3C35" w:rsidRDefault="007D3C35" w:rsidP="007D3C35">
      <w:pPr>
        <w:widowControl w:val="0"/>
        <w:autoSpaceDE w:val="0"/>
        <w:autoSpaceDN w:val="0"/>
        <w:adjustRightInd w:val="0"/>
        <w:ind w:left="2160" w:hanging="720"/>
      </w:pPr>
      <w:r>
        <w:t>2)</w:t>
      </w:r>
      <w:r>
        <w:tab/>
        <w:t xml:space="preserve">Urinalysis routine without microscopy; </w:t>
      </w:r>
    </w:p>
    <w:p w14:paraId="7181B8A0" w14:textId="741C2EDA" w:rsidR="007D3C35" w:rsidRDefault="007D3C35" w:rsidP="003D37B7">
      <w:pPr>
        <w:widowControl w:val="0"/>
        <w:autoSpaceDE w:val="0"/>
        <w:autoSpaceDN w:val="0"/>
        <w:adjustRightInd w:val="0"/>
      </w:pPr>
    </w:p>
    <w:p w14:paraId="1894C00C" w14:textId="0BF723AE" w:rsidR="007D3C35" w:rsidRDefault="007D3C35" w:rsidP="007D3C35">
      <w:pPr>
        <w:widowControl w:val="0"/>
        <w:autoSpaceDE w:val="0"/>
        <w:autoSpaceDN w:val="0"/>
        <w:adjustRightInd w:val="0"/>
        <w:ind w:left="2160" w:hanging="720"/>
      </w:pPr>
      <w:r>
        <w:t>3)</w:t>
      </w:r>
      <w:r>
        <w:tab/>
        <w:t xml:space="preserve">Chemical, qualitative, any number of constituents; </w:t>
      </w:r>
    </w:p>
    <w:p w14:paraId="1D9851D2" w14:textId="232088DA" w:rsidR="007D3C35" w:rsidRDefault="007D3C35" w:rsidP="003D37B7">
      <w:pPr>
        <w:widowControl w:val="0"/>
        <w:autoSpaceDE w:val="0"/>
        <w:autoSpaceDN w:val="0"/>
        <w:adjustRightInd w:val="0"/>
      </w:pPr>
    </w:p>
    <w:p w14:paraId="7787A75F" w14:textId="7A837288" w:rsidR="007D3C35" w:rsidRDefault="007D3C35" w:rsidP="007D3C35">
      <w:pPr>
        <w:widowControl w:val="0"/>
        <w:autoSpaceDE w:val="0"/>
        <w:autoSpaceDN w:val="0"/>
        <w:adjustRightInd w:val="0"/>
        <w:ind w:left="2160" w:hanging="720"/>
      </w:pPr>
      <w:r>
        <w:t>4)</w:t>
      </w:r>
      <w:r>
        <w:tab/>
        <w:t xml:space="preserve">Cholesterol, serum; total; </w:t>
      </w:r>
    </w:p>
    <w:p w14:paraId="2A2CEFA8" w14:textId="1FCDCFBB" w:rsidR="007D3C35" w:rsidRDefault="007D3C35" w:rsidP="003D37B7">
      <w:pPr>
        <w:widowControl w:val="0"/>
        <w:autoSpaceDE w:val="0"/>
        <w:autoSpaceDN w:val="0"/>
        <w:adjustRightInd w:val="0"/>
      </w:pPr>
    </w:p>
    <w:p w14:paraId="18F2DB85" w14:textId="6FCA2494" w:rsidR="007D3C35" w:rsidRDefault="007D3C35" w:rsidP="007D3C35">
      <w:pPr>
        <w:widowControl w:val="0"/>
        <w:autoSpaceDE w:val="0"/>
        <w:autoSpaceDN w:val="0"/>
        <w:adjustRightInd w:val="0"/>
        <w:ind w:left="2160" w:hanging="720"/>
      </w:pPr>
      <w:r>
        <w:t>5)</w:t>
      </w:r>
      <w:r>
        <w:tab/>
        <w:t xml:space="preserve">Cholesterol, serum; total and ester; </w:t>
      </w:r>
    </w:p>
    <w:p w14:paraId="37DC4ED7" w14:textId="38EA32C2" w:rsidR="007D3C35" w:rsidRDefault="007D3C35" w:rsidP="003D37B7">
      <w:pPr>
        <w:widowControl w:val="0"/>
        <w:autoSpaceDE w:val="0"/>
        <w:autoSpaceDN w:val="0"/>
        <w:adjustRightInd w:val="0"/>
      </w:pPr>
    </w:p>
    <w:p w14:paraId="19C95990" w14:textId="582EAC48" w:rsidR="007D3C35" w:rsidRDefault="007D3C35" w:rsidP="007D3C35">
      <w:pPr>
        <w:widowControl w:val="0"/>
        <w:autoSpaceDE w:val="0"/>
        <w:autoSpaceDN w:val="0"/>
        <w:adjustRightInd w:val="0"/>
        <w:ind w:left="2160" w:hanging="720"/>
      </w:pPr>
      <w:r>
        <w:t>6)</w:t>
      </w:r>
      <w:r>
        <w:tab/>
        <w:t xml:space="preserve">Lead Screening, Blood Lead; </w:t>
      </w:r>
    </w:p>
    <w:p w14:paraId="5C7D996A" w14:textId="11942A43" w:rsidR="007D3C35" w:rsidRDefault="007D3C35" w:rsidP="003D37B7">
      <w:pPr>
        <w:widowControl w:val="0"/>
        <w:autoSpaceDE w:val="0"/>
        <w:autoSpaceDN w:val="0"/>
        <w:adjustRightInd w:val="0"/>
      </w:pPr>
    </w:p>
    <w:p w14:paraId="597368E0" w14:textId="7E14FF82" w:rsidR="007D3C35" w:rsidRDefault="007D3C35" w:rsidP="007D3C35">
      <w:pPr>
        <w:widowControl w:val="0"/>
        <w:autoSpaceDE w:val="0"/>
        <w:autoSpaceDN w:val="0"/>
        <w:adjustRightInd w:val="0"/>
        <w:ind w:left="2160" w:hanging="720"/>
      </w:pPr>
      <w:r>
        <w:t>7)</w:t>
      </w:r>
      <w:r>
        <w:tab/>
        <w:t xml:space="preserve">Gonadotropin, chorionic quantitative pregnancy test; </w:t>
      </w:r>
    </w:p>
    <w:p w14:paraId="3B8B2C65" w14:textId="069B082E" w:rsidR="007D3C35" w:rsidRDefault="007D3C35" w:rsidP="003D37B7">
      <w:pPr>
        <w:widowControl w:val="0"/>
        <w:autoSpaceDE w:val="0"/>
        <w:autoSpaceDN w:val="0"/>
        <w:adjustRightInd w:val="0"/>
      </w:pPr>
    </w:p>
    <w:p w14:paraId="6533026B" w14:textId="18F52C65" w:rsidR="007D3C35" w:rsidRDefault="007D3C35" w:rsidP="007D3C35">
      <w:pPr>
        <w:widowControl w:val="0"/>
        <w:autoSpaceDE w:val="0"/>
        <w:autoSpaceDN w:val="0"/>
        <w:adjustRightInd w:val="0"/>
        <w:ind w:left="2160" w:hanging="720"/>
      </w:pPr>
      <w:r>
        <w:t>8)</w:t>
      </w:r>
      <w:r>
        <w:tab/>
        <w:t xml:space="preserve">Gonadotropin, chorionic qualitative pregnancy test; </w:t>
      </w:r>
    </w:p>
    <w:p w14:paraId="70F0BA01" w14:textId="10B4D851" w:rsidR="007D3C35" w:rsidRDefault="007D3C35" w:rsidP="003D37B7">
      <w:pPr>
        <w:widowControl w:val="0"/>
        <w:autoSpaceDE w:val="0"/>
        <w:autoSpaceDN w:val="0"/>
        <w:adjustRightInd w:val="0"/>
      </w:pPr>
    </w:p>
    <w:p w14:paraId="5E1CB139" w14:textId="39C99F11" w:rsidR="007D3C35" w:rsidRDefault="007D3C35" w:rsidP="007D3C35">
      <w:pPr>
        <w:widowControl w:val="0"/>
        <w:autoSpaceDE w:val="0"/>
        <w:autoSpaceDN w:val="0"/>
        <w:adjustRightInd w:val="0"/>
        <w:ind w:left="2160" w:hanging="720"/>
      </w:pPr>
      <w:r>
        <w:t>9)</w:t>
      </w:r>
      <w:r>
        <w:tab/>
        <w:t xml:space="preserve">Hematocrit; </w:t>
      </w:r>
    </w:p>
    <w:p w14:paraId="0DC7B11A" w14:textId="06E82D11" w:rsidR="007D3C35" w:rsidRDefault="007D3C35" w:rsidP="003D37B7">
      <w:pPr>
        <w:widowControl w:val="0"/>
        <w:autoSpaceDE w:val="0"/>
        <w:autoSpaceDN w:val="0"/>
        <w:adjustRightInd w:val="0"/>
      </w:pPr>
    </w:p>
    <w:p w14:paraId="40E1DA4F" w14:textId="092613A2" w:rsidR="007D3C35" w:rsidRDefault="007D3C35" w:rsidP="007D3C35">
      <w:pPr>
        <w:widowControl w:val="0"/>
        <w:autoSpaceDE w:val="0"/>
        <w:autoSpaceDN w:val="0"/>
        <w:adjustRightInd w:val="0"/>
        <w:ind w:left="2160" w:hanging="849"/>
      </w:pPr>
      <w:r>
        <w:t>10)</w:t>
      </w:r>
      <w:r>
        <w:tab/>
        <w:t xml:space="preserve">Hemoglobin Colorimetric; </w:t>
      </w:r>
    </w:p>
    <w:p w14:paraId="3380D474" w14:textId="14CBD4E4" w:rsidR="007D3C35" w:rsidRDefault="007D3C35" w:rsidP="003D37B7">
      <w:pPr>
        <w:widowControl w:val="0"/>
        <w:autoSpaceDE w:val="0"/>
        <w:autoSpaceDN w:val="0"/>
        <w:adjustRightInd w:val="0"/>
      </w:pPr>
    </w:p>
    <w:p w14:paraId="7063321E" w14:textId="0AF24096" w:rsidR="007D3C35" w:rsidRDefault="007D3C35" w:rsidP="007D3C35">
      <w:pPr>
        <w:widowControl w:val="0"/>
        <w:autoSpaceDE w:val="0"/>
        <w:autoSpaceDN w:val="0"/>
        <w:adjustRightInd w:val="0"/>
        <w:ind w:left="2160" w:hanging="849"/>
      </w:pPr>
      <w:r>
        <w:t>11)</w:t>
      </w:r>
      <w:r>
        <w:tab/>
        <w:t xml:space="preserve">Sickle RBC, reduction slide method; </w:t>
      </w:r>
    </w:p>
    <w:p w14:paraId="288689C8" w14:textId="0AA4692D" w:rsidR="007D3C35" w:rsidRDefault="007D3C35" w:rsidP="003D37B7">
      <w:pPr>
        <w:widowControl w:val="0"/>
        <w:autoSpaceDE w:val="0"/>
        <w:autoSpaceDN w:val="0"/>
        <w:adjustRightInd w:val="0"/>
      </w:pPr>
    </w:p>
    <w:p w14:paraId="4C609240" w14:textId="71A11477" w:rsidR="007D3C35" w:rsidRDefault="007D3C35" w:rsidP="007D3C35">
      <w:pPr>
        <w:widowControl w:val="0"/>
        <w:autoSpaceDE w:val="0"/>
        <w:autoSpaceDN w:val="0"/>
        <w:adjustRightInd w:val="0"/>
        <w:ind w:left="2160" w:hanging="849"/>
      </w:pPr>
      <w:r>
        <w:t>12)</w:t>
      </w:r>
      <w:r>
        <w:tab/>
        <w:t xml:space="preserve">Hemoglobin Electrophoresis; </w:t>
      </w:r>
    </w:p>
    <w:p w14:paraId="2FD77DDD" w14:textId="4B9B068D" w:rsidR="007D3C35" w:rsidRDefault="007D3C35" w:rsidP="003D37B7">
      <w:pPr>
        <w:widowControl w:val="0"/>
        <w:autoSpaceDE w:val="0"/>
        <w:autoSpaceDN w:val="0"/>
        <w:adjustRightInd w:val="0"/>
      </w:pPr>
    </w:p>
    <w:p w14:paraId="79044E3D" w14:textId="7045A2D8" w:rsidR="007D3C35" w:rsidRDefault="007D3C35" w:rsidP="007D3C35">
      <w:pPr>
        <w:widowControl w:val="0"/>
        <w:autoSpaceDE w:val="0"/>
        <w:autoSpaceDN w:val="0"/>
        <w:adjustRightInd w:val="0"/>
        <w:ind w:left="2160" w:hanging="849"/>
      </w:pPr>
      <w:r>
        <w:t>13)</w:t>
      </w:r>
      <w:r>
        <w:tab/>
        <w:t xml:space="preserve">Sickle Hemoglobin; </w:t>
      </w:r>
    </w:p>
    <w:p w14:paraId="353A7AE3" w14:textId="3A8519A7" w:rsidR="007D3C35" w:rsidRDefault="007D3C35" w:rsidP="003D37B7">
      <w:pPr>
        <w:widowControl w:val="0"/>
        <w:autoSpaceDE w:val="0"/>
        <w:autoSpaceDN w:val="0"/>
        <w:adjustRightInd w:val="0"/>
      </w:pPr>
    </w:p>
    <w:p w14:paraId="1F8932B4" w14:textId="537D0BDC" w:rsidR="007D3C35" w:rsidRDefault="007D3C35" w:rsidP="007D3C35">
      <w:pPr>
        <w:widowControl w:val="0"/>
        <w:autoSpaceDE w:val="0"/>
        <w:autoSpaceDN w:val="0"/>
        <w:adjustRightInd w:val="0"/>
        <w:ind w:left="2160" w:hanging="849"/>
      </w:pPr>
      <w:r>
        <w:t>14)</w:t>
      </w:r>
      <w:r>
        <w:tab/>
        <w:t xml:space="preserve">Tuberculosis intradermal; </w:t>
      </w:r>
    </w:p>
    <w:p w14:paraId="6D6AEDDE" w14:textId="7F3CCF09" w:rsidR="007D3C35" w:rsidRDefault="007D3C35" w:rsidP="003D37B7">
      <w:pPr>
        <w:widowControl w:val="0"/>
        <w:autoSpaceDE w:val="0"/>
        <w:autoSpaceDN w:val="0"/>
        <w:adjustRightInd w:val="0"/>
      </w:pPr>
    </w:p>
    <w:p w14:paraId="3A344C9E" w14:textId="3E56529E" w:rsidR="007D3C35" w:rsidRDefault="007D3C35" w:rsidP="007D3C35">
      <w:pPr>
        <w:widowControl w:val="0"/>
        <w:autoSpaceDE w:val="0"/>
        <w:autoSpaceDN w:val="0"/>
        <w:adjustRightInd w:val="0"/>
        <w:ind w:left="2160" w:hanging="849"/>
      </w:pPr>
      <w:r>
        <w:t>15)</w:t>
      </w:r>
      <w:r>
        <w:tab/>
        <w:t xml:space="preserve">TB Tine Test; </w:t>
      </w:r>
    </w:p>
    <w:p w14:paraId="036C23B1" w14:textId="3FCFE4A9" w:rsidR="007D3C35" w:rsidRDefault="007D3C35" w:rsidP="003D37B7">
      <w:pPr>
        <w:widowControl w:val="0"/>
        <w:autoSpaceDE w:val="0"/>
        <w:autoSpaceDN w:val="0"/>
        <w:adjustRightInd w:val="0"/>
      </w:pPr>
    </w:p>
    <w:p w14:paraId="66A1EC0E" w14:textId="5338F797" w:rsidR="007D3C35" w:rsidRDefault="007D3C35" w:rsidP="007D3C35">
      <w:pPr>
        <w:widowControl w:val="0"/>
        <w:autoSpaceDE w:val="0"/>
        <w:autoSpaceDN w:val="0"/>
        <w:adjustRightInd w:val="0"/>
        <w:ind w:left="2160" w:hanging="849"/>
      </w:pPr>
      <w:r>
        <w:t>16)</w:t>
      </w:r>
      <w:r>
        <w:tab/>
        <w:t xml:space="preserve">Syphilis Test, qualitative; </w:t>
      </w:r>
    </w:p>
    <w:p w14:paraId="6CE9BC1C" w14:textId="4B7F3E63" w:rsidR="007D3C35" w:rsidRDefault="007D3C35" w:rsidP="007D3C35"/>
    <w:p w14:paraId="5DE27502" w14:textId="49E6AFAC" w:rsidR="007D3C35" w:rsidRDefault="007D3C35" w:rsidP="007D3C35">
      <w:pPr>
        <w:widowControl w:val="0"/>
        <w:autoSpaceDE w:val="0"/>
        <w:autoSpaceDN w:val="0"/>
        <w:adjustRightInd w:val="0"/>
        <w:ind w:left="2160" w:hanging="849"/>
      </w:pPr>
      <w:r>
        <w:t>17)</w:t>
      </w:r>
      <w:r>
        <w:tab/>
        <w:t xml:space="preserve">GC Culture Test, bacterial screening only; </w:t>
      </w:r>
    </w:p>
    <w:p w14:paraId="53AFAADD" w14:textId="31EE39B2" w:rsidR="007D3C35" w:rsidRDefault="007D3C35" w:rsidP="003D37B7">
      <w:pPr>
        <w:widowControl w:val="0"/>
        <w:autoSpaceDE w:val="0"/>
        <w:autoSpaceDN w:val="0"/>
        <w:adjustRightInd w:val="0"/>
      </w:pPr>
    </w:p>
    <w:p w14:paraId="153AB1A9" w14:textId="31ACB575" w:rsidR="007D3C35" w:rsidRDefault="007D3C35" w:rsidP="007D3C35">
      <w:pPr>
        <w:widowControl w:val="0"/>
        <w:autoSpaceDE w:val="0"/>
        <w:autoSpaceDN w:val="0"/>
        <w:adjustRightInd w:val="0"/>
        <w:ind w:left="2160" w:hanging="849"/>
      </w:pPr>
      <w:r>
        <w:t>18)</w:t>
      </w:r>
      <w:r>
        <w:tab/>
        <w:t xml:space="preserve">Culture presumptive, pathogenic organisms screening only; </w:t>
      </w:r>
    </w:p>
    <w:p w14:paraId="07BE5DEA" w14:textId="49BA1CE6" w:rsidR="007D3C35" w:rsidRDefault="007D3C35" w:rsidP="003D37B7">
      <w:pPr>
        <w:widowControl w:val="0"/>
        <w:autoSpaceDE w:val="0"/>
        <w:autoSpaceDN w:val="0"/>
        <w:adjustRightInd w:val="0"/>
      </w:pPr>
    </w:p>
    <w:p w14:paraId="2D25925B" w14:textId="5851BAE1" w:rsidR="007D3C35" w:rsidRDefault="007D3C35" w:rsidP="007D3C35">
      <w:pPr>
        <w:widowControl w:val="0"/>
        <w:autoSpaceDE w:val="0"/>
        <w:autoSpaceDN w:val="0"/>
        <w:adjustRightInd w:val="0"/>
        <w:ind w:left="2160" w:hanging="849"/>
      </w:pPr>
      <w:r>
        <w:t>19)</w:t>
      </w:r>
      <w:r>
        <w:tab/>
        <w:t xml:space="preserve">Culture, multiple organisms; </w:t>
      </w:r>
    </w:p>
    <w:p w14:paraId="156C7751" w14:textId="527B37CF" w:rsidR="007D3C35" w:rsidRDefault="007D3C35" w:rsidP="003D37B7">
      <w:pPr>
        <w:widowControl w:val="0"/>
        <w:autoSpaceDE w:val="0"/>
        <w:autoSpaceDN w:val="0"/>
        <w:adjustRightInd w:val="0"/>
      </w:pPr>
    </w:p>
    <w:p w14:paraId="7D2A121F" w14:textId="63D9243C" w:rsidR="007D3C35" w:rsidRDefault="007D3C35" w:rsidP="007D3C35">
      <w:pPr>
        <w:widowControl w:val="0"/>
        <w:autoSpaceDE w:val="0"/>
        <w:autoSpaceDN w:val="0"/>
        <w:adjustRightInd w:val="0"/>
        <w:ind w:left="2160" w:hanging="849"/>
      </w:pPr>
      <w:r>
        <w:t>20)</w:t>
      </w:r>
      <w:r>
        <w:tab/>
        <w:t xml:space="preserve">Urine culture colony count; </w:t>
      </w:r>
    </w:p>
    <w:p w14:paraId="52063C33" w14:textId="1C500C28" w:rsidR="007D3C35" w:rsidRDefault="007D3C35" w:rsidP="003D37B7">
      <w:pPr>
        <w:widowControl w:val="0"/>
        <w:autoSpaceDE w:val="0"/>
        <w:autoSpaceDN w:val="0"/>
        <w:adjustRightInd w:val="0"/>
      </w:pPr>
    </w:p>
    <w:p w14:paraId="544063FE" w14:textId="7E1D0726" w:rsidR="007D3C35" w:rsidRDefault="007D3C35" w:rsidP="007D3C35">
      <w:pPr>
        <w:widowControl w:val="0"/>
        <w:autoSpaceDE w:val="0"/>
        <w:autoSpaceDN w:val="0"/>
        <w:adjustRightInd w:val="0"/>
        <w:ind w:left="2160" w:hanging="849"/>
      </w:pPr>
      <w:r>
        <w:t>21)</w:t>
      </w:r>
      <w:r>
        <w:tab/>
        <w:t>Urine bacteria count, commerc</w:t>
      </w:r>
      <w:r w:rsidR="00A232BA">
        <w:t>i</w:t>
      </w:r>
      <w:r>
        <w:t xml:space="preserve">al kit; </w:t>
      </w:r>
    </w:p>
    <w:p w14:paraId="4548DD97" w14:textId="77777777" w:rsidR="007D3C35" w:rsidRDefault="007D3C35" w:rsidP="003D37B7">
      <w:pPr>
        <w:widowControl w:val="0"/>
        <w:autoSpaceDE w:val="0"/>
        <w:autoSpaceDN w:val="0"/>
        <w:adjustRightInd w:val="0"/>
      </w:pPr>
    </w:p>
    <w:p w14:paraId="1769CD4A" w14:textId="77777777" w:rsidR="007D3C35" w:rsidRDefault="007D3C35" w:rsidP="007D3C35">
      <w:pPr>
        <w:widowControl w:val="0"/>
        <w:autoSpaceDE w:val="0"/>
        <w:autoSpaceDN w:val="0"/>
        <w:adjustRightInd w:val="0"/>
        <w:ind w:left="2160" w:hanging="849"/>
      </w:pPr>
      <w:r>
        <w:t>22)</w:t>
      </w:r>
      <w:r>
        <w:tab/>
        <w:t xml:space="preserve">Urine bacteria culture, identification, in addition to colony count and commercial kit; </w:t>
      </w:r>
    </w:p>
    <w:p w14:paraId="50F544C8" w14:textId="77777777" w:rsidR="007D3C35" w:rsidRDefault="007D3C35" w:rsidP="007D3C35"/>
    <w:p w14:paraId="6C5C8FA2" w14:textId="77777777" w:rsidR="007D3C35" w:rsidRDefault="007D3C35" w:rsidP="007D3C35">
      <w:pPr>
        <w:widowControl w:val="0"/>
        <w:autoSpaceDE w:val="0"/>
        <w:autoSpaceDN w:val="0"/>
        <w:adjustRightInd w:val="0"/>
        <w:ind w:left="2160" w:hanging="849"/>
      </w:pPr>
      <w:r>
        <w:t>23)</w:t>
      </w:r>
      <w:r>
        <w:tab/>
        <w:t xml:space="preserve">Chlamydia Culture; </w:t>
      </w:r>
    </w:p>
    <w:p w14:paraId="35FF3808" w14:textId="77777777" w:rsidR="007D3C35" w:rsidRDefault="007D3C35" w:rsidP="007D3C35"/>
    <w:p w14:paraId="1B156041" w14:textId="77777777" w:rsidR="007D3C35" w:rsidRDefault="007D3C35" w:rsidP="007D3C35">
      <w:pPr>
        <w:widowControl w:val="0"/>
        <w:autoSpaceDE w:val="0"/>
        <w:autoSpaceDN w:val="0"/>
        <w:adjustRightInd w:val="0"/>
        <w:ind w:left="2160" w:hanging="849"/>
      </w:pPr>
      <w:r>
        <w:t>24)</w:t>
      </w:r>
      <w:r>
        <w:tab/>
        <w:t xml:space="preserve">Pap Smear, Cytopathology; </w:t>
      </w:r>
    </w:p>
    <w:p w14:paraId="1E1A4CD2" w14:textId="77777777" w:rsidR="007D3C35" w:rsidRDefault="007D3C35" w:rsidP="007D3C35"/>
    <w:p w14:paraId="7201D865" w14:textId="77777777" w:rsidR="007D3C35" w:rsidRDefault="007D3C35" w:rsidP="007D3C35">
      <w:pPr>
        <w:widowControl w:val="0"/>
        <w:autoSpaceDE w:val="0"/>
        <w:autoSpaceDN w:val="0"/>
        <w:adjustRightInd w:val="0"/>
        <w:ind w:left="2160" w:hanging="849"/>
      </w:pPr>
      <w:r>
        <w:t>25)</w:t>
      </w:r>
      <w:r>
        <w:tab/>
        <w:t xml:space="preserve">Epidemological study of a child's living environment when a child has been diagnosed as having an abnormally high blood lead level; </w:t>
      </w:r>
    </w:p>
    <w:p w14:paraId="4BD79F2A" w14:textId="77777777" w:rsidR="007D3C35" w:rsidRDefault="007D3C35" w:rsidP="007D3C35"/>
    <w:p w14:paraId="2A01ED7E" w14:textId="77777777" w:rsidR="007D3C35" w:rsidRDefault="007D3C35" w:rsidP="007D3C35">
      <w:pPr>
        <w:widowControl w:val="0"/>
        <w:autoSpaceDE w:val="0"/>
        <w:autoSpaceDN w:val="0"/>
        <w:adjustRightInd w:val="0"/>
        <w:ind w:left="2160" w:hanging="849"/>
      </w:pPr>
      <w:r>
        <w:t>26)</w:t>
      </w:r>
      <w:r>
        <w:tab/>
        <w:t xml:space="preserve">Denver Developmental Screening Test; and </w:t>
      </w:r>
    </w:p>
    <w:p w14:paraId="2700CF72" w14:textId="77777777" w:rsidR="007D3C35" w:rsidRDefault="007D3C35" w:rsidP="007D3C35"/>
    <w:p w14:paraId="652305A1" w14:textId="77777777" w:rsidR="007D3C35" w:rsidRDefault="007D3C35" w:rsidP="007D3C35">
      <w:pPr>
        <w:widowControl w:val="0"/>
        <w:autoSpaceDE w:val="0"/>
        <w:autoSpaceDN w:val="0"/>
        <w:adjustRightInd w:val="0"/>
        <w:ind w:left="2160" w:hanging="849"/>
      </w:pPr>
      <w:r>
        <w:t>27)</w:t>
      </w:r>
      <w:r>
        <w:tab/>
        <w:t xml:space="preserve">Other developmental tests that may be approved by the Department. </w:t>
      </w:r>
    </w:p>
    <w:p w14:paraId="0B9BDAB1" w14:textId="77777777" w:rsidR="007D3C35" w:rsidRDefault="007D3C35" w:rsidP="007D3C35">
      <w:pPr>
        <w:widowControl w:val="0"/>
        <w:autoSpaceDE w:val="0"/>
        <w:autoSpaceDN w:val="0"/>
        <w:adjustRightInd w:val="0"/>
      </w:pPr>
    </w:p>
    <w:p w14:paraId="75216CAC" w14:textId="5347C4E0" w:rsidR="007D3C35" w:rsidRDefault="00453F40" w:rsidP="007D3C35">
      <w:pPr>
        <w:widowControl w:val="0"/>
        <w:autoSpaceDE w:val="0"/>
        <w:autoSpaceDN w:val="0"/>
        <w:adjustRightInd w:val="0"/>
        <w:ind w:left="1440" w:hanging="720"/>
      </w:pPr>
      <w:r w:rsidRPr="00524821">
        <w:t>(Source:  Amended at 4</w:t>
      </w:r>
      <w:r w:rsidR="00950949">
        <w:t>9</w:t>
      </w:r>
      <w:r w:rsidRPr="00524821">
        <w:t xml:space="preserve"> Ill. Reg. </w:t>
      </w:r>
      <w:r w:rsidR="00D771E1">
        <w:t>3081</w:t>
      </w:r>
      <w:r w:rsidRPr="00524821">
        <w:t xml:space="preserve">, effective </w:t>
      </w:r>
      <w:r w:rsidR="00D771E1">
        <w:t>February 26, 2025</w:t>
      </w:r>
      <w:r w:rsidRPr="00524821">
        <w:t>)</w:t>
      </w:r>
    </w:p>
    <w:sectPr w:rsidR="007D3C35" w:rsidSect="00B340D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C14F4"/>
    <w:rsid w:val="00150A31"/>
    <w:rsid w:val="00226F46"/>
    <w:rsid w:val="00295F03"/>
    <w:rsid w:val="002F6FCF"/>
    <w:rsid w:val="00372D75"/>
    <w:rsid w:val="003D37B7"/>
    <w:rsid w:val="00453F40"/>
    <w:rsid w:val="004B6227"/>
    <w:rsid w:val="004E3CD4"/>
    <w:rsid w:val="005149FA"/>
    <w:rsid w:val="006918D5"/>
    <w:rsid w:val="006D1768"/>
    <w:rsid w:val="007365C6"/>
    <w:rsid w:val="00777E60"/>
    <w:rsid w:val="007D3C35"/>
    <w:rsid w:val="0080355C"/>
    <w:rsid w:val="008E348C"/>
    <w:rsid w:val="00950949"/>
    <w:rsid w:val="009522C0"/>
    <w:rsid w:val="009D00E1"/>
    <w:rsid w:val="009E7A64"/>
    <w:rsid w:val="00A232BA"/>
    <w:rsid w:val="00A83D8D"/>
    <w:rsid w:val="00AA158C"/>
    <w:rsid w:val="00AE2AB2"/>
    <w:rsid w:val="00B340D3"/>
    <w:rsid w:val="00B61863"/>
    <w:rsid w:val="00BC14F4"/>
    <w:rsid w:val="00C67499"/>
    <w:rsid w:val="00D63D1A"/>
    <w:rsid w:val="00D771E1"/>
    <w:rsid w:val="00E12FA1"/>
    <w:rsid w:val="00E226A7"/>
    <w:rsid w:val="00E25219"/>
    <w:rsid w:val="00E4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6A0DF4"/>
  <w15:docId w15:val="{CFB3BC1E-A3C3-476C-AE11-B85F7424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C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7E60"/>
    <w:rPr>
      <w:color w:val="0000FF"/>
      <w:u w:val="single"/>
    </w:rPr>
  </w:style>
  <w:style w:type="character" w:styleId="FollowedHyperlink">
    <w:name w:val="FollowedHyperlink"/>
    <w:basedOn w:val="DefaultParagraphFont"/>
    <w:uiPriority w:val="99"/>
    <w:semiHidden/>
    <w:unhideWhenUsed/>
    <w:rsid w:val="008E348C"/>
    <w:rPr>
      <w:color w:val="800080" w:themeColor="followedHyperlink"/>
      <w:u w:val="single"/>
    </w:rPr>
  </w:style>
  <w:style w:type="character" w:styleId="UnresolvedMention">
    <w:name w:val="Unresolved Mention"/>
    <w:basedOn w:val="DefaultParagraphFont"/>
    <w:uiPriority w:val="99"/>
    <w:semiHidden/>
    <w:unhideWhenUsed/>
    <w:rsid w:val="00691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6</cp:revision>
  <dcterms:created xsi:type="dcterms:W3CDTF">2025-02-05T14:59:00Z</dcterms:created>
  <dcterms:modified xsi:type="dcterms:W3CDTF">2025-03-14T14:23:00Z</dcterms:modified>
</cp:coreProperties>
</file>