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A7" w:rsidRDefault="00605AA7" w:rsidP="00CE6C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AA7" w:rsidRDefault="00605AA7" w:rsidP="00CE6C2C">
      <w:pPr>
        <w:widowControl w:val="0"/>
        <w:autoSpaceDE w:val="0"/>
        <w:autoSpaceDN w:val="0"/>
        <w:adjustRightInd w:val="0"/>
        <w:jc w:val="center"/>
      </w:pPr>
      <w:r>
        <w:t>SUBPART C:  FINANCIAL ELIGIBILITY DETERMINATION</w:t>
      </w:r>
    </w:p>
    <w:sectPr w:rsidR="00605AA7" w:rsidSect="00C208F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AA7"/>
    <w:rsid w:val="0003527D"/>
    <w:rsid w:val="00605AA7"/>
    <w:rsid w:val="0095590B"/>
    <w:rsid w:val="00B560E1"/>
    <w:rsid w:val="00C208FB"/>
    <w:rsid w:val="00C7393E"/>
    <w:rsid w:val="00C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FINANCIAL ELIGIBILITY DETERMINATION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FINANCIAL ELIGIBILITY DETERMINATION</dc:title>
  <dc:subject/>
  <dc:creator>ThomasVD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