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6C" w:rsidRDefault="00BD6D6C" w:rsidP="00BD6D6C">
      <w:pPr>
        <w:widowControl w:val="0"/>
        <w:autoSpaceDE w:val="0"/>
        <w:autoSpaceDN w:val="0"/>
        <w:adjustRightInd w:val="0"/>
      </w:pPr>
    </w:p>
    <w:p w:rsidR="00BD6D6C" w:rsidRDefault="00BD6D6C" w:rsidP="00BD6D6C">
      <w:pPr>
        <w:widowControl w:val="0"/>
        <w:autoSpaceDE w:val="0"/>
        <w:autoSpaceDN w:val="0"/>
        <w:adjustRightInd w:val="0"/>
      </w:pPr>
      <w:r>
        <w:rPr>
          <w:b/>
          <w:bCs/>
        </w:rPr>
        <w:t>Section 120.30  MANG(C) Income Standard</w:t>
      </w:r>
    </w:p>
    <w:p w:rsidR="00BD6D6C" w:rsidRDefault="00BD6D6C" w:rsidP="00BD6D6C">
      <w:pPr>
        <w:widowControl w:val="0"/>
        <w:autoSpaceDE w:val="0"/>
        <w:autoSpaceDN w:val="0"/>
        <w:adjustRightInd w:val="0"/>
      </w:pPr>
    </w:p>
    <w:tbl>
      <w:tblPr>
        <w:tblW w:w="0" w:type="auto"/>
        <w:tblInd w:w="1590" w:type="dxa"/>
        <w:tblLook w:val="0000" w:firstRow="0" w:lastRow="0" w:firstColumn="0" w:lastColumn="0" w:noHBand="0" w:noVBand="0"/>
      </w:tblPr>
      <w:tblGrid>
        <w:gridCol w:w="2223"/>
        <w:gridCol w:w="2571"/>
      </w:tblGrid>
      <w:tr w:rsidR="0026526C" w:rsidRPr="0026526C">
        <w:trPr>
          <w:trHeight w:val="492"/>
        </w:trPr>
        <w:tc>
          <w:tcPr>
            <w:tcW w:w="2223" w:type="dxa"/>
          </w:tcPr>
          <w:p w:rsidR="0026526C" w:rsidRPr="0026526C" w:rsidRDefault="0026526C" w:rsidP="0026526C">
            <w:pPr>
              <w:widowControl w:val="0"/>
              <w:autoSpaceDE w:val="0"/>
              <w:autoSpaceDN w:val="0"/>
              <w:adjustRightInd w:val="0"/>
              <w:jc w:val="center"/>
            </w:pPr>
            <w:r w:rsidRPr="0026526C">
              <w:t>Number</w:t>
            </w:r>
            <w:r>
              <w:t xml:space="preserve"> </w:t>
            </w:r>
            <w:r w:rsidRPr="0026526C">
              <w:t>In</w:t>
            </w:r>
            <w:r>
              <w:t xml:space="preserve"> </w:t>
            </w:r>
            <w:r w:rsidRPr="0026526C">
              <w:t>Family</w:t>
            </w:r>
          </w:p>
        </w:tc>
        <w:tc>
          <w:tcPr>
            <w:tcW w:w="2571" w:type="dxa"/>
          </w:tcPr>
          <w:p w:rsidR="0026526C" w:rsidRPr="0026526C" w:rsidRDefault="0026526C" w:rsidP="0026526C">
            <w:pPr>
              <w:widowControl w:val="0"/>
              <w:autoSpaceDE w:val="0"/>
              <w:autoSpaceDN w:val="0"/>
              <w:adjustRightInd w:val="0"/>
              <w:jc w:val="center"/>
            </w:pPr>
            <w:r w:rsidRPr="0026526C">
              <w:t>Monthly</w:t>
            </w:r>
            <w:r>
              <w:t xml:space="preserve"> </w:t>
            </w:r>
            <w:r w:rsidRPr="0026526C">
              <w:t>Net</w:t>
            </w:r>
            <w:r>
              <w:t xml:space="preserve"> </w:t>
            </w:r>
            <w:r w:rsidRPr="0026526C">
              <w:t>Income</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w:t>
            </w:r>
          </w:p>
        </w:tc>
        <w:tc>
          <w:tcPr>
            <w:tcW w:w="2571" w:type="dxa"/>
          </w:tcPr>
          <w:p w:rsidR="0026526C" w:rsidRPr="0026526C" w:rsidRDefault="0026526C" w:rsidP="0026526C">
            <w:pPr>
              <w:widowControl w:val="0"/>
              <w:autoSpaceDE w:val="0"/>
              <w:autoSpaceDN w:val="0"/>
              <w:adjustRightInd w:val="0"/>
              <w:ind w:right="1095"/>
              <w:jc w:val="right"/>
            </w:pPr>
            <w:r w:rsidRPr="0026526C">
              <w:t>283</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2</w:t>
            </w:r>
          </w:p>
        </w:tc>
        <w:tc>
          <w:tcPr>
            <w:tcW w:w="2571" w:type="dxa"/>
          </w:tcPr>
          <w:p w:rsidR="0026526C" w:rsidRPr="0026526C" w:rsidRDefault="0026526C" w:rsidP="0026526C">
            <w:pPr>
              <w:widowControl w:val="0"/>
              <w:autoSpaceDE w:val="0"/>
              <w:autoSpaceDN w:val="0"/>
              <w:adjustRightInd w:val="0"/>
              <w:ind w:right="1095"/>
              <w:jc w:val="right"/>
            </w:pPr>
            <w:r w:rsidRPr="0026526C">
              <w:t>375</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3</w:t>
            </w:r>
          </w:p>
        </w:tc>
        <w:tc>
          <w:tcPr>
            <w:tcW w:w="2571" w:type="dxa"/>
          </w:tcPr>
          <w:p w:rsidR="0026526C" w:rsidRPr="0026526C" w:rsidRDefault="0026526C" w:rsidP="0026526C">
            <w:pPr>
              <w:widowControl w:val="0"/>
              <w:autoSpaceDE w:val="0"/>
              <w:autoSpaceDN w:val="0"/>
              <w:adjustRightInd w:val="0"/>
              <w:ind w:right="1095"/>
              <w:jc w:val="right"/>
            </w:pPr>
            <w:r w:rsidRPr="0026526C">
              <w:t>508</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4</w:t>
            </w:r>
          </w:p>
        </w:tc>
        <w:tc>
          <w:tcPr>
            <w:tcW w:w="2571" w:type="dxa"/>
          </w:tcPr>
          <w:p w:rsidR="0026526C" w:rsidRPr="0026526C" w:rsidRDefault="0026526C" w:rsidP="0026526C">
            <w:pPr>
              <w:widowControl w:val="0"/>
              <w:autoSpaceDE w:val="0"/>
              <w:autoSpaceDN w:val="0"/>
              <w:adjustRightInd w:val="0"/>
              <w:ind w:right="1095"/>
              <w:jc w:val="right"/>
            </w:pPr>
            <w:r w:rsidRPr="0026526C">
              <w:t>558</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5</w:t>
            </w:r>
          </w:p>
        </w:tc>
        <w:tc>
          <w:tcPr>
            <w:tcW w:w="2571" w:type="dxa"/>
          </w:tcPr>
          <w:p w:rsidR="0026526C" w:rsidRPr="0026526C" w:rsidRDefault="0026526C" w:rsidP="0026526C">
            <w:pPr>
              <w:widowControl w:val="0"/>
              <w:autoSpaceDE w:val="0"/>
              <w:autoSpaceDN w:val="0"/>
              <w:adjustRightInd w:val="0"/>
              <w:ind w:right="1095"/>
              <w:jc w:val="right"/>
            </w:pPr>
            <w:r w:rsidRPr="0026526C">
              <w:t>650</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6</w:t>
            </w:r>
          </w:p>
        </w:tc>
        <w:tc>
          <w:tcPr>
            <w:tcW w:w="2571" w:type="dxa"/>
          </w:tcPr>
          <w:p w:rsidR="0026526C" w:rsidRPr="0026526C" w:rsidRDefault="0026526C" w:rsidP="0026526C">
            <w:pPr>
              <w:widowControl w:val="0"/>
              <w:autoSpaceDE w:val="0"/>
              <w:autoSpaceDN w:val="0"/>
              <w:adjustRightInd w:val="0"/>
              <w:ind w:right="1095"/>
              <w:jc w:val="right"/>
            </w:pPr>
            <w:r w:rsidRPr="0026526C">
              <w:t>733</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7</w:t>
            </w:r>
          </w:p>
        </w:tc>
        <w:tc>
          <w:tcPr>
            <w:tcW w:w="2571" w:type="dxa"/>
          </w:tcPr>
          <w:p w:rsidR="0026526C" w:rsidRPr="0026526C" w:rsidRDefault="0026526C" w:rsidP="0026526C">
            <w:pPr>
              <w:widowControl w:val="0"/>
              <w:autoSpaceDE w:val="0"/>
              <w:autoSpaceDN w:val="0"/>
              <w:adjustRightInd w:val="0"/>
              <w:ind w:right="1095"/>
              <w:jc w:val="right"/>
            </w:pPr>
            <w:r w:rsidRPr="0026526C">
              <w:t>767</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8</w:t>
            </w:r>
          </w:p>
        </w:tc>
        <w:tc>
          <w:tcPr>
            <w:tcW w:w="2571" w:type="dxa"/>
          </w:tcPr>
          <w:p w:rsidR="0026526C" w:rsidRPr="0026526C" w:rsidRDefault="0026526C" w:rsidP="0026526C">
            <w:pPr>
              <w:widowControl w:val="0"/>
              <w:autoSpaceDE w:val="0"/>
              <w:autoSpaceDN w:val="0"/>
              <w:adjustRightInd w:val="0"/>
              <w:ind w:right="1095"/>
              <w:jc w:val="right"/>
            </w:pPr>
            <w:r w:rsidRPr="0026526C">
              <w:t>808</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9</w:t>
            </w:r>
          </w:p>
        </w:tc>
        <w:tc>
          <w:tcPr>
            <w:tcW w:w="2571" w:type="dxa"/>
          </w:tcPr>
          <w:p w:rsidR="0026526C" w:rsidRPr="0026526C" w:rsidRDefault="0026526C" w:rsidP="0026526C">
            <w:pPr>
              <w:widowControl w:val="0"/>
              <w:autoSpaceDE w:val="0"/>
              <w:autoSpaceDN w:val="0"/>
              <w:adjustRightInd w:val="0"/>
              <w:ind w:right="1095"/>
              <w:jc w:val="right"/>
            </w:pPr>
            <w:r w:rsidRPr="0026526C">
              <w:t>850</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10</w:t>
            </w:r>
          </w:p>
        </w:tc>
        <w:tc>
          <w:tcPr>
            <w:tcW w:w="2571" w:type="dxa"/>
          </w:tcPr>
          <w:p w:rsidR="0026526C" w:rsidRPr="0026526C" w:rsidRDefault="0026526C" w:rsidP="0026526C">
            <w:pPr>
              <w:widowControl w:val="0"/>
              <w:autoSpaceDE w:val="0"/>
              <w:autoSpaceDN w:val="0"/>
              <w:adjustRightInd w:val="0"/>
              <w:ind w:right="1095"/>
              <w:jc w:val="right"/>
            </w:pPr>
            <w:r w:rsidRPr="0026526C">
              <w:t>900</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11</w:t>
            </w:r>
          </w:p>
        </w:tc>
        <w:tc>
          <w:tcPr>
            <w:tcW w:w="2571" w:type="dxa"/>
          </w:tcPr>
          <w:p w:rsidR="0026526C" w:rsidRPr="0026526C" w:rsidRDefault="0026526C" w:rsidP="0026526C">
            <w:pPr>
              <w:widowControl w:val="0"/>
              <w:autoSpaceDE w:val="0"/>
              <w:autoSpaceDN w:val="0"/>
              <w:adjustRightInd w:val="0"/>
              <w:ind w:right="1095"/>
              <w:jc w:val="right"/>
            </w:pPr>
            <w:r w:rsidRPr="0026526C">
              <w:t>942</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12</w:t>
            </w:r>
          </w:p>
        </w:tc>
        <w:tc>
          <w:tcPr>
            <w:tcW w:w="2571" w:type="dxa"/>
          </w:tcPr>
          <w:p w:rsidR="0026526C" w:rsidRPr="0026526C" w:rsidRDefault="0026526C" w:rsidP="0026526C">
            <w:pPr>
              <w:widowControl w:val="0"/>
              <w:autoSpaceDE w:val="0"/>
              <w:autoSpaceDN w:val="0"/>
              <w:adjustRightInd w:val="0"/>
              <w:ind w:right="1095"/>
              <w:jc w:val="right"/>
            </w:pPr>
            <w:r w:rsidRPr="0026526C">
              <w:t>992</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13</w:t>
            </w:r>
          </w:p>
        </w:tc>
        <w:tc>
          <w:tcPr>
            <w:tcW w:w="2571" w:type="dxa"/>
          </w:tcPr>
          <w:p w:rsidR="0026526C" w:rsidRPr="0026526C" w:rsidRDefault="0026526C" w:rsidP="0026526C">
            <w:pPr>
              <w:widowControl w:val="0"/>
              <w:autoSpaceDE w:val="0"/>
              <w:autoSpaceDN w:val="0"/>
              <w:adjustRightInd w:val="0"/>
              <w:ind w:right="1095"/>
              <w:jc w:val="right"/>
            </w:pPr>
            <w:r w:rsidRPr="0026526C">
              <w:t>1042</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14</w:t>
            </w:r>
          </w:p>
        </w:tc>
        <w:tc>
          <w:tcPr>
            <w:tcW w:w="2571" w:type="dxa"/>
          </w:tcPr>
          <w:p w:rsidR="0026526C" w:rsidRPr="0026526C" w:rsidRDefault="0026526C" w:rsidP="0026526C">
            <w:pPr>
              <w:widowControl w:val="0"/>
              <w:autoSpaceDE w:val="0"/>
              <w:autoSpaceDN w:val="0"/>
              <w:adjustRightInd w:val="0"/>
              <w:ind w:right="1095"/>
              <w:jc w:val="right"/>
            </w:pPr>
            <w:r w:rsidRPr="0026526C">
              <w:t>1100</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15</w:t>
            </w:r>
          </w:p>
        </w:tc>
        <w:tc>
          <w:tcPr>
            <w:tcW w:w="2571" w:type="dxa"/>
          </w:tcPr>
          <w:p w:rsidR="0026526C" w:rsidRPr="0026526C" w:rsidRDefault="0026526C" w:rsidP="0026526C">
            <w:pPr>
              <w:widowControl w:val="0"/>
              <w:autoSpaceDE w:val="0"/>
              <w:autoSpaceDN w:val="0"/>
              <w:adjustRightInd w:val="0"/>
              <w:ind w:right="1095"/>
              <w:jc w:val="right"/>
            </w:pPr>
            <w:r w:rsidRPr="0026526C">
              <w:t>1158</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16</w:t>
            </w:r>
          </w:p>
        </w:tc>
        <w:tc>
          <w:tcPr>
            <w:tcW w:w="2571" w:type="dxa"/>
          </w:tcPr>
          <w:p w:rsidR="0026526C" w:rsidRPr="0026526C" w:rsidRDefault="0026526C" w:rsidP="0026526C">
            <w:pPr>
              <w:widowControl w:val="0"/>
              <w:autoSpaceDE w:val="0"/>
              <w:autoSpaceDN w:val="0"/>
              <w:adjustRightInd w:val="0"/>
              <w:ind w:right="1095"/>
              <w:jc w:val="right"/>
            </w:pPr>
            <w:r w:rsidRPr="0026526C">
              <w:t>1217</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17</w:t>
            </w:r>
          </w:p>
        </w:tc>
        <w:tc>
          <w:tcPr>
            <w:tcW w:w="2571" w:type="dxa"/>
          </w:tcPr>
          <w:p w:rsidR="0026526C" w:rsidRPr="0026526C" w:rsidRDefault="0026526C" w:rsidP="0026526C">
            <w:pPr>
              <w:widowControl w:val="0"/>
              <w:autoSpaceDE w:val="0"/>
              <w:autoSpaceDN w:val="0"/>
              <w:adjustRightInd w:val="0"/>
              <w:ind w:right="1095"/>
              <w:jc w:val="right"/>
            </w:pPr>
            <w:r w:rsidRPr="0026526C">
              <w:t>1283</w:t>
            </w:r>
          </w:p>
        </w:tc>
      </w:tr>
      <w:tr w:rsidR="0026526C" w:rsidRPr="0026526C">
        <w:tc>
          <w:tcPr>
            <w:tcW w:w="2223" w:type="dxa"/>
          </w:tcPr>
          <w:p w:rsidR="0026526C" w:rsidRPr="0026526C" w:rsidRDefault="0026526C" w:rsidP="0026526C">
            <w:pPr>
              <w:widowControl w:val="0"/>
              <w:autoSpaceDE w:val="0"/>
              <w:autoSpaceDN w:val="0"/>
              <w:adjustRightInd w:val="0"/>
              <w:ind w:right="975"/>
              <w:jc w:val="right"/>
            </w:pPr>
            <w:r w:rsidRPr="0026526C">
              <w:t>18</w:t>
            </w:r>
          </w:p>
        </w:tc>
        <w:tc>
          <w:tcPr>
            <w:tcW w:w="2571" w:type="dxa"/>
          </w:tcPr>
          <w:p w:rsidR="0026526C" w:rsidRPr="0026526C" w:rsidRDefault="0026526C" w:rsidP="0026526C">
            <w:pPr>
              <w:widowControl w:val="0"/>
              <w:autoSpaceDE w:val="0"/>
              <w:autoSpaceDN w:val="0"/>
              <w:adjustRightInd w:val="0"/>
              <w:ind w:right="1095"/>
              <w:jc w:val="right"/>
            </w:pPr>
            <w:r w:rsidRPr="0026526C">
              <w:t>1350</w:t>
            </w:r>
          </w:p>
        </w:tc>
      </w:tr>
    </w:tbl>
    <w:p w:rsidR="0026526C" w:rsidRDefault="0026526C" w:rsidP="002D4CA4"/>
    <w:p w:rsidR="00BD6D6C" w:rsidRDefault="00BD6D6C" w:rsidP="00BD6D6C">
      <w:pPr>
        <w:widowControl w:val="0"/>
        <w:autoSpaceDE w:val="0"/>
        <w:autoSpaceDN w:val="0"/>
        <w:adjustRightInd w:val="0"/>
        <w:ind w:left="1440" w:hanging="720"/>
      </w:pPr>
      <w:r>
        <w:t>a)</w:t>
      </w:r>
      <w:r>
        <w:tab/>
        <w:t xml:space="preserve">If the number in the household unit exceeds the number provided above, add $67 for each additional person. </w:t>
      </w:r>
    </w:p>
    <w:p w:rsidR="0095712B" w:rsidRDefault="0095712B" w:rsidP="002D4CA4"/>
    <w:p w:rsidR="00BD6D6C" w:rsidRDefault="00BD6D6C" w:rsidP="00BD6D6C">
      <w:pPr>
        <w:widowControl w:val="0"/>
        <w:autoSpaceDE w:val="0"/>
        <w:autoSpaceDN w:val="0"/>
        <w:adjustRightInd w:val="0"/>
        <w:ind w:left="1440" w:hanging="720"/>
      </w:pPr>
      <w:r>
        <w:t>b)</w:t>
      </w:r>
      <w:r>
        <w:tab/>
        <w:t xml:space="preserve">MANG(C) is available for a pregnant woman, of any age, who would be eligible for TANF or MANG(C) if the child had already been born.  The pregnant woman and her spouse's income are combined and compared to the MANG standard for three persons. </w:t>
      </w:r>
    </w:p>
    <w:p w:rsidR="0095712B" w:rsidRDefault="0095712B" w:rsidP="002D4CA4"/>
    <w:p w:rsidR="00BD6D6C" w:rsidRDefault="00BD6D6C" w:rsidP="00BD6D6C">
      <w:pPr>
        <w:widowControl w:val="0"/>
        <w:autoSpaceDE w:val="0"/>
        <w:autoSpaceDN w:val="0"/>
        <w:adjustRightInd w:val="0"/>
        <w:ind w:left="1440" w:hanging="720"/>
      </w:pPr>
      <w:r>
        <w:t>c)</w:t>
      </w:r>
      <w:r>
        <w:tab/>
        <w:t xml:space="preserve">If the case includes adults only, the MANG standard for one adult is $283.  The standard for two adults is $375.  An unborn child is counted as a family member. </w:t>
      </w:r>
    </w:p>
    <w:p w:rsidR="0095712B" w:rsidRDefault="0095712B" w:rsidP="002D4CA4"/>
    <w:p w:rsidR="00BD6D6C" w:rsidRDefault="00BD6D6C" w:rsidP="00BD6D6C">
      <w:pPr>
        <w:widowControl w:val="0"/>
        <w:autoSpaceDE w:val="0"/>
        <w:autoSpaceDN w:val="0"/>
        <w:adjustRightInd w:val="0"/>
        <w:ind w:left="1440" w:hanging="720"/>
      </w:pPr>
      <w:r>
        <w:t>d)</w:t>
      </w:r>
      <w:r>
        <w:tab/>
        <w:t xml:space="preserve">When a child has earmarked income, other than State Supplemental Income (SSI), and the parent does not want this income applied to total family needs, the child is not to be included in the assistance unit. The family size used in the application of the MANG(C) Income Standards shall be reduced by one for each such child determined ineligible on this basis. </w:t>
      </w:r>
    </w:p>
    <w:p w:rsidR="0095712B" w:rsidRDefault="0095712B" w:rsidP="002D4CA4"/>
    <w:p w:rsidR="00BD6D6C" w:rsidRDefault="00BD6D6C" w:rsidP="00BD6D6C">
      <w:pPr>
        <w:widowControl w:val="0"/>
        <w:autoSpaceDE w:val="0"/>
        <w:autoSpaceDN w:val="0"/>
        <w:adjustRightInd w:val="0"/>
        <w:ind w:left="1440" w:hanging="720"/>
      </w:pPr>
      <w:r>
        <w:t>e)</w:t>
      </w:r>
      <w:r>
        <w:tab/>
        <w:t xml:space="preserve">When financial eligibility for MANG(C) is being determined for one child only, the income of the child in excess of $283 a month is considered available to pay toward the child's medical expenses. </w:t>
      </w:r>
    </w:p>
    <w:p w:rsidR="0095712B" w:rsidRDefault="0095712B" w:rsidP="002D4CA4"/>
    <w:p w:rsidR="00BD6D6C" w:rsidRDefault="00BD6D6C" w:rsidP="00BD6D6C">
      <w:pPr>
        <w:widowControl w:val="0"/>
        <w:autoSpaceDE w:val="0"/>
        <w:autoSpaceDN w:val="0"/>
        <w:adjustRightInd w:val="0"/>
        <w:ind w:left="1440" w:hanging="720"/>
      </w:pPr>
      <w:r>
        <w:t>f)</w:t>
      </w:r>
      <w:r>
        <w:tab/>
        <w:t xml:space="preserve">If eligibility is being determined for more than one child, the MANG(C) Standard for number of people shall be used. </w:t>
      </w:r>
    </w:p>
    <w:p w:rsidR="00BD6D6C" w:rsidRDefault="00BD6D6C" w:rsidP="002D4CA4"/>
    <w:p w:rsidR="00BD6D6C" w:rsidRDefault="00BD6D6C" w:rsidP="00BD6D6C">
      <w:pPr>
        <w:widowControl w:val="0"/>
        <w:autoSpaceDE w:val="0"/>
        <w:autoSpaceDN w:val="0"/>
        <w:adjustRightInd w:val="0"/>
        <w:ind w:left="1440" w:hanging="720"/>
      </w:pPr>
      <w:r>
        <w:t>(Source:</w:t>
      </w:r>
      <w:bookmarkStart w:id="0" w:name="_GoBack"/>
      <w:r>
        <w:t xml:space="preserve">  </w:t>
      </w:r>
      <w:bookmarkEnd w:id="0"/>
      <w:r>
        <w:t xml:space="preserve">Amended at 22 Ill. Reg. 19875, effective October 30, 1998) </w:t>
      </w:r>
    </w:p>
    <w:sectPr w:rsidR="00BD6D6C" w:rsidSect="00BD6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D6C"/>
    <w:rsid w:val="0026526C"/>
    <w:rsid w:val="002D4CA4"/>
    <w:rsid w:val="004B58A5"/>
    <w:rsid w:val="005C3366"/>
    <w:rsid w:val="0095712B"/>
    <w:rsid w:val="00A26BF4"/>
    <w:rsid w:val="00BD6D6C"/>
    <w:rsid w:val="00F5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F83E01-AE89-40A1-B387-A924B01E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2012-06-21T21:00:00Z</dcterms:created>
  <dcterms:modified xsi:type="dcterms:W3CDTF">2015-12-29T17:29:00Z</dcterms:modified>
</cp:coreProperties>
</file>