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66" w:rsidRDefault="00361266" w:rsidP="003612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1266" w:rsidRDefault="00361266" w:rsidP="003612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114.223  Lump-Sum Payments</w:t>
      </w:r>
      <w:r>
        <w:t xml:space="preserve"> </w:t>
      </w:r>
    </w:p>
    <w:p w:rsidR="00361266" w:rsidRDefault="00361266" w:rsidP="00361266">
      <w:pPr>
        <w:widowControl w:val="0"/>
        <w:autoSpaceDE w:val="0"/>
        <w:autoSpaceDN w:val="0"/>
        <w:adjustRightInd w:val="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Income received either in the form of a one-time only, payment that does not continue on a regular basis or in the form of a retroactive payment for income that continues on a regular basis is considered nonrecurring lump-sum income (a lump-sum payment).  Examples of nonrecurring lump-sum income are retroactive social security payments, retroactive unemployment insurance benefits, personal injury settlements, Workers' Compensation injury settlements, lottery winnings, inheritances and insurance settlements.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144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portion of the lump-sum payment used to pay for expenses incurred as a result of the lump-sum payment shall be exempt from consideration as nonrecurring lump-sum income as follows: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16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Personal Injury Settlement </w:t>
      </w:r>
      <w:r w:rsidR="00445D80">
        <w:t xml:space="preserve">– </w:t>
      </w:r>
      <w:r>
        <w:t xml:space="preserve">That portion of a personal injury payments is exempt which is used to pay for: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88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necessary costs of litigation or settlement, including attorney's fees;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88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Department's charge (see 89 Ill. Adm. Code 102.260);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88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medical costs resulting from the injury and paid by the client;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88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expenses to repair or replace personal property which was damaged as a result of the injury.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16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Workers' Compensation Payment </w:t>
      </w:r>
      <w:r w:rsidR="00445D80">
        <w:t xml:space="preserve">– </w:t>
      </w:r>
      <w:r>
        <w:t xml:space="preserve">That portion of a Workers' Compensation payment is exempt which is used to pay for: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88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necessary costs of litigation or settlement, including attorney's fees;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88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medical costs resulting from the injury and paid by the client.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16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Insurance Payments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88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Insurance Payments </w:t>
      </w:r>
      <w:r w:rsidR="00445D80">
        <w:t xml:space="preserve">– </w:t>
      </w:r>
      <w:r>
        <w:t xml:space="preserve">That portion of an insurance payment received due to loss is exempt when used to: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360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repair or replace a lost or damaged resource including but not limited to repair or replacement of home, furniture, or clothing lost or damaged in a fire or flood and repair or replacement of a car as a result of an accident or fire;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360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ii)</w:t>
      </w:r>
      <w:r>
        <w:tab/>
        <w:t xml:space="preserve">pay the funeral/burial or medical expenses of an insured where the client is the beneficiary of the insured's life insurance policy.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288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Any insurance proceeds not spent or contracted to be spent as specified in subsection (b)(3)(A) of this Section within 60 days after receipt shall be  budgeted as nonrecurring lump-sum income.  A payment receipt shall be required as verification of any insurance-related expense claimed as exempt under subsection (b)(3)(A) of this Section.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1440" w:hanging="720"/>
      </w:pPr>
    </w:p>
    <w:p w:rsidR="00361266" w:rsidRDefault="00361266" w:rsidP="003612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SSI lump-sum payment made on behalf of a child that is paid directly into a dedicated account is disregarded. </w:t>
      </w:r>
    </w:p>
    <w:p w:rsidR="00A34B70" w:rsidRDefault="00A34B70" w:rsidP="00361266">
      <w:pPr>
        <w:widowControl w:val="0"/>
        <w:autoSpaceDE w:val="0"/>
        <w:autoSpaceDN w:val="0"/>
        <w:adjustRightInd w:val="0"/>
        <w:ind w:left="1440" w:hanging="720"/>
      </w:pPr>
    </w:p>
    <w:p w:rsidR="00361266" w:rsidRDefault="00361266" w:rsidP="00A34B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Lump-sum payments </w:t>
      </w:r>
      <w:r w:rsidR="00011031">
        <w:t xml:space="preserve">are considered nonexempt unearned income for the month of receipt.  Any amount remaining is considered an asset for the following month. </w:t>
      </w:r>
    </w:p>
    <w:p w:rsidR="00A34B70" w:rsidRDefault="00A34B70" w:rsidP="00A34B70">
      <w:pPr>
        <w:widowControl w:val="0"/>
        <w:autoSpaceDE w:val="0"/>
        <w:autoSpaceDN w:val="0"/>
        <w:adjustRightInd w:val="0"/>
        <w:ind w:left="1440" w:hanging="720"/>
      </w:pPr>
    </w:p>
    <w:p w:rsidR="00011031" w:rsidRDefault="00011031">
      <w:pPr>
        <w:pStyle w:val="JCARSourceNote"/>
        <w:ind w:firstLine="720"/>
      </w:pPr>
      <w:r>
        <w:t>(Source:  Amended at 2</w:t>
      </w:r>
      <w:r w:rsidR="00480B53">
        <w:t>8</w:t>
      </w:r>
      <w:r>
        <w:t xml:space="preserve"> Ill. Reg. </w:t>
      </w:r>
      <w:r w:rsidR="005E354A">
        <w:t>5682</w:t>
      </w:r>
      <w:r>
        <w:t xml:space="preserve">, effective </w:t>
      </w:r>
      <w:r w:rsidR="005E354A">
        <w:t>March 22, 2004</w:t>
      </w:r>
      <w:r>
        <w:t>)</w:t>
      </w:r>
    </w:p>
    <w:sectPr w:rsidR="00011031" w:rsidSect="003612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266"/>
    <w:rsid w:val="00011031"/>
    <w:rsid w:val="00041171"/>
    <w:rsid w:val="0016032B"/>
    <w:rsid w:val="00361266"/>
    <w:rsid w:val="00445D80"/>
    <w:rsid w:val="00480B53"/>
    <w:rsid w:val="005C3366"/>
    <w:rsid w:val="005E354A"/>
    <w:rsid w:val="00A34B70"/>
    <w:rsid w:val="00ED4812"/>
    <w:rsid w:val="00F5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1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