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6" w:rsidRDefault="00051B36" w:rsidP="00A85A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B36" w:rsidRDefault="00051B36" w:rsidP="00A85A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104.220  Notice of Hearing</w:t>
      </w:r>
      <w:r>
        <w:t xml:space="preserve"> </w:t>
      </w:r>
    </w:p>
    <w:p w:rsidR="00051B36" w:rsidRDefault="00051B36" w:rsidP="00A85A20">
      <w:pPr>
        <w:widowControl w:val="0"/>
        <w:autoSpaceDE w:val="0"/>
        <w:autoSpaceDN w:val="0"/>
        <w:adjustRightInd w:val="0"/>
      </w:pPr>
    </w:p>
    <w:p w:rsidR="00051B36" w:rsidRDefault="00051B36" w:rsidP="00A85A20">
      <w:pPr>
        <w:widowControl w:val="0"/>
        <w:autoSpaceDE w:val="0"/>
        <w:autoSpaceDN w:val="0"/>
        <w:adjustRightInd w:val="0"/>
      </w:pPr>
      <w:r>
        <w:t xml:space="preserve">When the Department schedules a hearing, it shall notify the parties and/or their attorneys in writing to appear and specify a date, time and place. </w:t>
      </w:r>
    </w:p>
    <w:p w:rsidR="00AC2B00" w:rsidRDefault="00AC2B00" w:rsidP="00A85A20">
      <w:pPr>
        <w:widowControl w:val="0"/>
        <w:autoSpaceDE w:val="0"/>
        <w:autoSpaceDN w:val="0"/>
        <w:adjustRightInd w:val="0"/>
      </w:pPr>
    </w:p>
    <w:p w:rsidR="00AC2B00" w:rsidRDefault="00AC2B00" w:rsidP="00AC2B00">
      <w:pPr>
        <w:widowControl w:val="0"/>
        <w:autoSpaceDE w:val="0"/>
        <w:autoSpaceDN w:val="0"/>
        <w:adjustRightInd w:val="0"/>
        <w:ind w:left="741"/>
      </w:pPr>
      <w:r>
        <w:t>(Source:  Amended at 2 Ill. Reg. 33, p. 57, effective August 17, 1978)</w:t>
      </w:r>
    </w:p>
    <w:sectPr w:rsidR="00AC2B00" w:rsidSect="00A85A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B36"/>
    <w:rsid w:val="00051B36"/>
    <w:rsid w:val="00387950"/>
    <w:rsid w:val="0071431C"/>
    <w:rsid w:val="009B67F9"/>
    <w:rsid w:val="00A44238"/>
    <w:rsid w:val="00A85A20"/>
    <w:rsid w:val="00A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