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E5FF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0E622D6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102.1</w:t>
      </w:r>
      <w:r>
        <w:tab/>
        <w:t xml:space="preserve">Incorporation by Reference </w:t>
      </w:r>
    </w:p>
    <w:p w14:paraId="17D30BE4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102.10</w:t>
      </w:r>
      <w:r>
        <w:tab/>
        <w:t xml:space="preserve">Rights of Clients </w:t>
      </w:r>
    </w:p>
    <w:p w14:paraId="167BDA63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102.20</w:t>
      </w:r>
      <w:r>
        <w:tab/>
        <w:t xml:space="preserve">Nondiscrimination </w:t>
      </w:r>
    </w:p>
    <w:p w14:paraId="2875BB8E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102.21</w:t>
      </w:r>
      <w:r>
        <w:tab/>
        <w:t xml:space="preserve">Voter Registration </w:t>
      </w:r>
    </w:p>
    <w:p w14:paraId="47A8FF87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102.25</w:t>
      </w:r>
      <w:r>
        <w:tab/>
        <w:t xml:space="preserve">Grievance Rights of Clients </w:t>
      </w:r>
    </w:p>
    <w:p w14:paraId="395FC46F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102.30</w:t>
      </w:r>
      <w:r>
        <w:tab/>
        <w:t xml:space="preserve">Confidentiality of Case Information </w:t>
      </w:r>
    </w:p>
    <w:p w14:paraId="29FFA527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102.35</w:t>
      </w:r>
      <w:r>
        <w:tab/>
        <w:t xml:space="preserve">Case Records </w:t>
      </w:r>
    </w:p>
    <w:p w14:paraId="4F6F7FF1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102.40</w:t>
      </w:r>
      <w:r>
        <w:tab/>
        <w:t xml:space="preserve">Freedom of Choice </w:t>
      </w:r>
    </w:p>
    <w:p w14:paraId="038C11ED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102.50</w:t>
      </w:r>
      <w:r>
        <w:tab/>
        <w:t xml:space="preserve">Reporting Change of Circumstances </w:t>
      </w:r>
    </w:p>
    <w:p w14:paraId="2F986E9D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102.60</w:t>
      </w:r>
      <w:r>
        <w:tab/>
        <w:t xml:space="preserve">Referral Requirements </w:t>
      </w:r>
    </w:p>
    <w:p w14:paraId="05D85BC0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102.63</w:t>
      </w:r>
      <w:r>
        <w:tab/>
        <w:t xml:space="preserve">Reporting Child Abuse/Neglect </w:t>
      </w:r>
    </w:p>
    <w:p w14:paraId="4D5D481C" w14:textId="4C1E8C41" w:rsidR="009C3023" w:rsidRDefault="009C3023" w:rsidP="001B219B">
      <w:pPr>
        <w:widowControl w:val="0"/>
        <w:autoSpaceDE w:val="0"/>
        <w:autoSpaceDN w:val="0"/>
        <w:adjustRightInd w:val="0"/>
        <w:ind w:left="1440" w:hanging="1440"/>
      </w:pPr>
      <w:r>
        <w:t>102.65</w:t>
      </w:r>
      <w:r>
        <w:tab/>
      </w:r>
      <w:r w:rsidRPr="0090076E">
        <w:t>Abandoned Newborn Infant</w:t>
      </w:r>
    </w:p>
    <w:p w14:paraId="584478A4" w14:textId="233F4596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102.66</w:t>
      </w:r>
      <w:r>
        <w:tab/>
        <w:t xml:space="preserve">Suitability of Home </w:t>
      </w:r>
    </w:p>
    <w:p w14:paraId="55D505A4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102.70</w:t>
      </w:r>
      <w:r>
        <w:tab/>
        <w:t xml:space="preserve">Notice to Client </w:t>
      </w:r>
    </w:p>
    <w:p w14:paraId="68464B27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102.80</w:t>
      </w:r>
      <w:r>
        <w:tab/>
        <w:t xml:space="preserve">Right to Appeal </w:t>
      </w:r>
    </w:p>
    <w:p w14:paraId="6BBE0A8E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102.81</w:t>
      </w:r>
      <w:r>
        <w:tab/>
        <w:t xml:space="preserve">Continuation of Assistance Pending Appeal </w:t>
      </w:r>
    </w:p>
    <w:p w14:paraId="74A7DF4C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102.82</w:t>
      </w:r>
      <w:r>
        <w:tab/>
        <w:t xml:space="preserve">Time Limit for Filing an Appeal </w:t>
      </w:r>
    </w:p>
    <w:p w14:paraId="672E4E3C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102.83</w:t>
      </w:r>
      <w:r>
        <w:tab/>
        <w:t xml:space="preserve">Examining Department Records </w:t>
      </w:r>
    </w:p>
    <w:p w14:paraId="767C35BA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102.84</w:t>
      </w:r>
      <w:r>
        <w:tab/>
        <w:t xml:space="preserve">Child Care </w:t>
      </w:r>
    </w:p>
    <w:p w14:paraId="162609EC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102.90</w:t>
      </w:r>
      <w:r>
        <w:tab/>
        <w:t xml:space="preserve">Voluntary Repayment of Assistance </w:t>
      </w:r>
    </w:p>
    <w:p w14:paraId="4C576532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102.100</w:t>
      </w:r>
      <w:r>
        <w:tab/>
        <w:t xml:space="preserve">Excess Assistance (Recodified) </w:t>
      </w:r>
    </w:p>
    <w:p w14:paraId="4FD20D6C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102.110</w:t>
      </w:r>
      <w:r>
        <w:tab/>
        <w:t xml:space="preserve">Recoupment of Overpayments (Recodified) </w:t>
      </w:r>
    </w:p>
    <w:p w14:paraId="4859D568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102.120</w:t>
      </w:r>
      <w:r>
        <w:tab/>
        <w:t xml:space="preserve">Correction of Underpayments </w:t>
      </w:r>
    </w:p>
    <w:p w14:paraId="395CC335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102.200</w:t>
      </w:r>
      <w:r>
        <w:tab/>
        <w:t xml:space="preserve">Recovery of Assistance </w:t>
      </w:r>
    </w:p>
    <w:p w14:paraId="36B9AC95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102.210</w:t>
      </w:r>
      <w:r>
        <w:tab/>
        <w:t xml:space="preserve">Estate Claims </w:t>
      </w:r>
    </w:p>
    <w:p w14:paraId="0C1EB24A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102.220</w:t>
      </w:r>
      <w:r>
        <w:tab/>
        <w:t xml:space="preserve">Real Property Liens </w:t>
      </w:r>
    </w:p>
    <w:p w14:paraId="10AA726A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102.230</w:t>
      </w:r>
      <w:r>
        <w:tab/>
        <w:t xml:space="preserve">Filing and Renewal of Liens </w:t>
      </w:r>
    </w:p>
    <w:p w14:paraId="75F40274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102.235</w:t>
      </w:r>
      <w:r>
        <w:tab/>
        <w:t xml:space="preserve">Liens on Property of Institutionalized Recipients </w:t>
      </w:r>
    </w:p>
    <w:p w14:paraId="2D0F13F4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102.240</w:t>
      </w:r>
      <w:r>
        <w:tab/>
        <w:t xml:space="preserve">Foreclosure of Liens </w:t>
      </w:r>
    </w:p>
    <w:p w14:paraId="367D3C33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102.250</w:t>
      </w:r>
      <w:r>
        <w:tab/>
        <w:t xml:space="preserve">Release of Liens </w:t>
      </w:r>
    </w:p>
    <w:p w14:paraId="7D7B5215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102.260</w:t>
      </w:r>
      <w:r>
        <w:tab/>
        <w:t xml:space="preserve">Personal Injury Claims </w:t>
      </w:r>
    </w:p>
    <w:p w14:paraId="7F08DC7F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102.270</w:t>
      </w:r>
      <w:r>
        <w:tab/>
        <w:t xml:space="preserve">Convictions of Fraud – Eligibility </w:t>
      </w:r>
    </w:p>
    <w:p w14:paraId="11FFF17F" w14:textId="77777777" w:rsidR="001B219B" w:rsidRDefault="001B219B" w:rsidP="001B219B">
      <w:pPr>
        <w:widowControl w:val="0"/>
        <w:autoSpaceDE w:val="0"/>
        <w:autoSpaceDN w:val="0"/>
        <w:adjustRightInd w:val="0"/>
        <w:ind w:left="1440" w:hanging="1440"/>
      </w:pPr>
      <w:r>
        <w:t>102.280</w:t>
      </w:r>
      <w:r>
        <w:tab/>
        <w:t xml:space="preserve">Single Conviction of Fraud – Administrative Review Board </w:t>
      </w:r>
    </w:p>
    <w:sectPr w:rsidR="001B219B" w:rsidSect="00FA6D0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263"/>
    <w:rsid w:val="001B219B"/>
    <w:rsid w:val="00241897"/>
    <w:rsid w:val="004D141A"/>
    <w:rsid w:val="00617E25"/>
    <w:rsid w:val="0071431C"/>
    <w:rsid w:val="00951263"/>
    <w:rsid w:val="009C3023"/>
    <w:rsid w:val="00C15FD1"/>
    <w:rsid w:val="00D90D1D"/>
    <w:rsid w:val="00F26DE3"/>
    <w:rsid w:val="00F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A7C836"/>
  <w15:docId w15:val="{A3DEBF28-EB8F-499D-B04D-272BFE3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Bockewitz, Crystal K.</cp:lastModifiedBy>
  <cp:revision>2</cp:revision>
  <dcterms:created xsi:type="dcterms:W3CDTF">2024-08-20T16:53:00Z</dcterms:created>
  <dcterms:modified xsi:type="dcterms:W3CDTF">2024-08-20T16:53:00Z</dcterms:modified>
</cp:coreProperties>
</file>