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0A12" w14:textId="77777777" w:rsidR="00C94188" w:rsidRDefault="00C94188" w:rsidP="00C94188">
      <w:pPr>
        <w:rPr>
          <w:b/>
        </w:rPr>
      </w:pPr>
    </w:p>
    <w:p w14:paraId="7F473AF6" w14:textId="77777777" w:rsidR="00C94188" w:rsidRPr="0037487E" w:rsidRDefault="00C94188" w:rsidP="0037487E">
      <w:pPr>
        <w:rPr>
          <w:b/>
        </w:rPr>
      </w:pPr>
      <w:r w:rsidRPr="0037487E">
        <w:rPr>
          <w:b/>
        </w:rPr>
        <w:t xml:space="preserve">Section </w:t>
      </w:r>
      <w:r w:rsidR="003F6969">
        <w:rPr>
          <w:b/>
        </w:rPr>
        <w:t>5</w:t>
      </w:r>
      <w:r w:rsidRPr="0037487E">
        <w:rPr>
          <w:b/>
        </w:rPr>
        <w:t>0.750  Professional Knowledge</w:t>
      </w:r>
    </w:p>
    <w:p w14:paraId="6AADFB2E" w14:textId="77777777" w:rsidR="00C94188" w:rsidRPr="0037487E" w:rsidRDefault="00C94188" w:rsidP="0037487E">
      <w:pPr>
        <w:rPr>
          <w:b/>
        </w:rPr>
      </w:pPr>
    </w:p>
    <w:p w14:paraId="2F8A11D1" w14:textId="77777777" w:rsidR="00C94188" w:rsidRPr="0037487E" w:rsidRDefault="00C94188" w:rsidP="0037487E">
      <w:r w:rsidRPr="0037487E">
        <w:t>Professional knowledge identifies what all adults who work with children, youth and families need to know, understand and be able to demonstrate to support children</w:t>
      </w:r>
      <w:r>
        <w:t>'</w:t>
      </w:r>
      <w:r w:rsidRPr="0037487E">
        <w:t>s and youth</w:t>
      </w:r>
      <w:r>
        <w:t>'</w:t>
      </w:r>
      <w:r w:rsidRPr="0037487E">
        <w:t>s development, school readiness, school success, families</w:t>
      </w:r>
      <w:r>
        <w:t>'</w:t>
      </w:r>
      <w:r w:rsidRPr="0037487E">
        <w:t xml:space="preserve"> development, self-sufficiency and well-being.  This knowledge is divided into content areas.</w:t>
      </w:r>
    </w:p>
    <w:p w14:paraId="5EDA4D4D" w14:textId="77777777" w:rsidR="00C94188" w:rsidRPr="0037487E" w:rsidRDefault="00C94188" w:rsidP="0037487E"/>
    <w:p w14:paraId="77D45CA9" w14:textId="77777777" w:rsidR="00C94188" w:rsidRPr="0037487E" w:rsidRDefault="00C94188" w:rsidP="0037487E">
      <w:pPr>
        <w:ind w:firstLine="720"/>
      </w:pPr>
      <w:r w:rsidRPr="0037487E">
        <w:t>a)</w:t>
      </w:r>
      <w:r>
        <w:tab/>
      </w:r>
      <w:r w:rsidRPr="0037487E">
        <w:t>Content Areas</w:t>
      </w:r>
    </w:p>
    <w:p w14:paraId="28F3A97F" w14:textId="77777777" w:rsidR="008C306A" w:rsidRDefault="008C306A" w:rsidP="0037487E">
      <w:pPr>
        <w:ind w:left="1440"/>
      </w:pPr>
    </w:p>
    <w:p w14:paraId="26BA2868" w14:textId="77777777" w:rsidR="00C94188" w:rsidRPr="0037487E" w:rsidRDefault="008C306A" w:rsidP="0037487E">
      <w:pPr>
        <w:ind w:left="2160" w:hanging="720"/>
      </w:pPr>
      <w:r>
        <w:t>1)</w:t>
      </w:r>
      <w:r>
        <w:tab/>
      </w:r>
      <w:r w:rsidR="00C94188" w:rsidRPr="0037487E">
        <w:t>The content areas represent traditional subject areas and identify the range of observable skills that adults need to facilitate learning and development.  The content areas for each credential remain the same for all levels of training, education and role responsibilities.  The content areas for Gateways to Opportunity Credentials include</w:t>
      </w:r>
      <w:r>
        <w:t>,</w:t>
      </w:r>
      <w:r w:rsidR="00C94188" w:rsidRPr="0037487E">
        <w:t xml:space="preserve"> but are not limited to:</w:t>
      </w:r>
    </w:p>
    <w:p w14:paraId="4EACEB42" w14:textId="77777777" w:rsidR="00C94188" w:rsidRPr="0037487E" w:rsidRDefault="00C94188" w:rsidP="0037487E"/>
    <w:p w14:paraId="5ACA15C5" w14:textId="77777777" w:rsidR="00C94188" w:rsidRPr="0037487E" w:rsidRDefault="008C306A" w:rsidP="0037487E">
      <w:pPr>
        <w:ind w:left="1440" w:firstLine="720"/>
      </w:pPr>
      <w:r>
        <w:t>A</w:t>
      </w:r>
      <w:r w:rsidR="00C94188">
        <w:t>)</w:t>
      </w:r>
      <w:r w:rsidR="00C94188">
        <w:tab/>
      </w:r>
      <w:r w:rsidR="00C94188" w:rsidRPr="0037487E">
        <w:t>Human growth and development;</w:t>
      </w:r>
    </w:p>
    <w:p w14:paraId="15B21BC2" w14:textId="77777777" w:rsidR="00C94188" w:rsidRPr="0037487E" w:rsidRDefault="00C94188" w:rsidP="0037487E"/>
    <w:p w14:paraId="6CDF983F" w14:textId="77777777" w:rsidR="00C94188" w:rsidRPr="0037487E" w:rsidRDefault="008C306A" w:rsidP="0037487E">
      <w:pPr>
        <w:ind w:left="1440" w:firstLine="720"/>
      </w:pPr>
      <w:r>
        <w:t>B</w:t>
      </w:r>
      <w:r w:rsidR="00C94188">
        <w:t>)</w:t>
      </w:r>
      <w:r w:rsidR="00C94188">
        <w:tab/>
      </w:r>
      <w:r w:rsidR="00C94188" w:rsidRPr="0037487E">
        <w:t>Health, safety and nutrition;</w:t>
      </w:r>
    </w:p>
    <w:p w14:paraId="58E0A09F" w14:textId="77777777" w:rsidR="00C94188" w:rsidRPr="0037487E" w:rsidRDefault="00C94188" w:rsidP="0037487E"/>
    <w:p w14:paraId="3C7ED7CB" w14:textId="77777777" w:rsidR="00C94188" w:rsidRPr="0037487E" w:rsidRDefault="008C306A" w:rsidP="0037487E">
      <w:pPr>
        <w:ind w:left="1440" w:firstLine="720"/>
      </w:pPr>
      <w:r>
        <w:t>C</w:t>
      </w:r>
      <w:r w:rsidR="00C94188">
        <w:t>)</w:t>
      </w:r>
      <w:r w:rsidR="00C94188">
        <w:tab/>
      </w:r>
      <w:r w:rsidR="00C94188" w:rsidRPr="0037487E">
        <w:t>Observation and assessment;</w:t>
      </w:r>
    </w:p>
    <w:p w14:paraId="69294D07" w14:textId="77777777" w:rsidR="00C94188" w:rsidRPr="0037487E" w:rsidRDefault="00C94188" w:rsidP="0037487E"/>
    <w:p w14:paraId="707CEDEA" w14:textId="77777777" w:rsidR="00C94188" w:rsidRPr="0037487E" w:rsidRDefault="008C306A" w:rsidP="0037487E">
      <w:pPr>
        <w:ind w:left="1440" w:firstLine="720"/>
      </w:pPr>
      <w:r>
        <w:t>D</w:t>
      </w:r>
      <w:r w:rsidR="00C94188">
        <w:t>)</w:t>
      </w:r>
      <w:r w:rsidR="00C94188">
        <w:tab/>
      </w:r>
      <w:r w:rsidR="00C94188" w:rsidRPr="0037487E">
        <w:t>Curriculum or program development;</w:t>
      </w:r>
    </w:p>
    <w:p w14:paraId="03C02B30" w14:textId="77777777" w:rsidR="00C94188" w:rsidRPr="0037487E" w:rsidRDefault="00C94188" w:rsidP="0037487E"/>
    <w:p w14:paraId="7E45899B" w14:textId="77777777" w:rsidR="00C94188" w:rsidRPr="0037487E" w:rsidRDefault="008C306A" w:rsidP="0037487E">
      <w:pPr>
        <w:ind w:left="1440" w:firstLine="720"/>
      </w:pPr>
      <w:r>
        <w:t>E</w:t>
      </w:r>
      <w:r w:rsidR="00C94188">
        <w:t>)</w:t>
      </w:r>
      <w:r w:rsidR="00C94188">
        <w:tab/>
      </w:r>
      <w:r w:rsidR="00C94188" w:rsidRPr="0037487E">
        <w:t>Interactions and environments;</w:t>
      </w:r>
    </w:p>
    <w:p w14:paraId="4CBCEFDA" w14:textId="77777777" w:rsidR="00C94188" w:rsidRPr="0037487E" w:rsidRDefault="00C94188" w:rsidP="0037487E"/>
    <w:p w14:paraId="074A5172" w14:textId="77777777" w:rsidR="00C94188" w:rsidRPr="0037487E" w:rsidRDefault="008C306A" w:rsidP="0037487E">
      <w:pPr>
        <w:ind w:left="1440" w:firstLine="720"/>
      </w:pPr>
      <w:r>
        <w:t>F</w:t>
      </w:r>
      <w:r w:rsidR="00C94188">
        <w:t>)</w:t>
      </w:r>
      <w:r w:rsidR="00C94188">
        <w:tab/>
      </w:r>
      <w:r w:rsidR="00C94188" w:rsidRPr="0037487E">
        <w:t>Family and community relationships; and</w:t>
      </w:r>
    </w:p>
    <w:p w14:paraId="49232E52" w14:textId="77777777" w:rsidR="00C94188" w:rsidRPr="0037487E" w:rsidRDefault="00C94188" w:rsidP="0037487E"/>
    <w:p w14:paraId="65B4EA8F" w14:textId="77777777" w:rsidR="00C94188" w:rsidRPr="0037487E" w:rsidRDefault="008C306A" w:rsidP="0037487E">
      <w:pPr>
        <w:ind w:left="1440" w:firstLine="720"/>
      </w:pPr>
      <w:r>
        <w:t>G</w:t>
      </w:r>
      <w:r w:rsidR="00C94188">
        <w:t>)</w:t>
      </w:r>
      <w:r w:rsidR="00C94188">
        <w:tab/>
      </w:r>
      <w:r w:rsidR="00C94188" w:rsidRPr="0037487E">
        <w:t>Personal and professional development.</w:t>
      </w:r>
    </w:p>
    <w:p w14:paraId="689769EE" w14:textId="77777777" w:rsidR="00C94188" w:rsidRPr="0037487E" w:rsidRDefault="00C94188" w:rsidP="0037487E"/>
    <w:p w14:paraId="13C7C494" w14:textId="77777777" w:rsidR="00C94188" w:rsidRPr="0037487E" w:rsidRDefault="008C306A" w:rsidP="0037487E">
      <w:pPr>
        <w:ind w:left="2160" w:hanging="720"/>
      </w:pPr>
      <w:r>
        <w:t>2)</w:t>
      </w:r>
      <w:r>
        <w:tab/>
      </w:r>
      <w:r w:rsidR="00C94188" w:rsidRPr="0037487E">
        <w:t xml:space="preserve">Additional information about the Gateways to Opportunity Credential Content Areas can be found at:  </w:t>
      </w:r>
      <w:r w:rsidR="007F5FC4">
        <w:t>http://</w:t>
      </w:r>
      <w:r w:rsidR="00920422" w:rsidRPr="0037487E">
        <w:t>www.ilgateways.com</w:t>
      </w:r>
      <w:r w:rsidR="00920422" w:rsidRPr="00991738">
        <w:t>/en/higher-education-institution-faculty</w:t>
      </w:r>
      <w:r w:rsidR="007F5FC4">
        <w:t>-</w:t>
      </w:r>
      <w:r w:rsidR="00920422">
        <w:t>and</w:t>
      </w:r>
      <w:r w:rsidR="007F5FC4">
        <w:t>-</w:t>
      </w:r>
      <w:r w:rsidR="00920422">
        <w:t>programs</w:t>
      </w:r>
      <w:r w:rsidR="00C94188" w:rsidRPr="0037487E">
        <w:t>, or by contacting:  Gateways to Opportunity, 1226 Towanda Plaza, Bloomington, Illinois 61701.</w:t>
      </w:r>
    </w:p>
    <w:p w14:paraId="71CD1191" w14:textId="77777777" w:rsidR="00C94188" w:rsidRPr="0037487E" w:rsidRDefault="00C94188" w:rsidP="0037487E"/>
    <w:p w14:paraId="6327E388" w14:textId="77777777" w:rsidR="00C94188" w:rsidRPr="0037487E" w:rsidRDefault="00C94188" w:rsidP="0037487E">
      <w:pPr>
        <w:ind w:firstLine="720"/>
      </w:pPr>
      <w:r w:rsidRPr="0037487E">
        <w:t>b)</w:t>
      </w:r>
      <w:r>
        <w:tab/>
      </w:r>
      <w:r w:rsidRPr="0037487E">
        <w:t>Competency Levels</w:t>
      </w:r>
    </w:p>
    <w:p w14:paraId="0C50BBFD" w14:textId="77777777" w:rsidR="00C94188" w:rsidRPr="0037487E" w:rsidRDefault="00C94188" w:rsidP="0037487E">
      <w:pPr>
        <w:ind w:left="1440"/>
      </w:pPr>
      <w:r w:rsidRPr="0037487E">
        <w:t xml:space="preserve">The benchmarks for each content area in all Gateways to Opportunity Credentials are set at levels that increase in complexity according to the specific educational and professional achievement.  Professionals are awarded credentials at the level that matches their educational and professional attainment. </w:t>
      </w:r>
    </w:p>
    <w:p w14:paraId="10489BC0" w14:textId="77777777" w:rsidR="00C94188" w:rsidRPr="0037487E" w:rsidRDefault="00C94188" w:rsidP="0037487E"/>
    <w:p w14:paraId="4C8BC920" w14:textId="77777777" w:rsidR="00C94188" w:rsidRPr="0037487E" w:rsidRDefault="00C94188" w:rsidP="0037487E">
      <w:pPr>
        <w:ind w:firstLine="720"/>
      </w:pPr>
      <w:r w:rsidRPr="0037487E">
        <w:t>c)</w:t>
      </w:r>
      <w:r>
        <w:tab/>
      </w:r>
      <w:r w:rsidRPr="0037487E">
        <w:t>Alignment with other Professional Standards</w:t>
      </w:r>
    </w:p>
    <w:p w14:paraId="29AFA931" w14:textId="77777777" w:rsidR="00C94188" w:rsidRPr="00C94188" w:rsidRDefault="00C94188" w:rsidP="0037487E"/>
    <w:p w14:paraId="52FA8B1A" w14:textId="77777777" w:rsidR="00C94188" w:rsidRPr="0037487E" w:rsidRDefault="00C94188" w:rsidP="0037487E">
      <w:pPr>
        <w:ind w:left="2160" w:hanging="720"/>
      </w:pPr>
      <w:r w:rsidRPr="0037487E">
        <w:t>1</w:t>
      </w:r>
      <w:r>
        <w:t>)</w:t>
      </w:r>
      <w:r>
        <w:tab/>
      </w:r>
      <w:r w:rsidRPr="0037487E">
        <w:t xml:space="preserve">The knowledge, skills and disposition indicators for adults working with children and youth align with other sets of recognized professional </w:t>
      </w:r>
      <w:r w:rsidRPr="0037487E">
        <w:lastRenderedPageBreak/>
        <w:t>standards for early childhood and school-age care programs, such as, but not limited to:</w:t>
      </w:r>
    </w:p>
    <w:p w14:paraId="70B7372A" w14:textId="77777777" w:rsidR="00C94188" w:rsidRPr="0037487E" w:rsidRDefault="00C94188" w:rsidP="0037487E"/>
    <w:p w14:paraId="18060DA8" w14:textId="0435BFED" w:rsidR="00C94188" w:rsidRPr="0037487E" w:rsidRDefault="00C94188" w:rsidP="00FA2407">
      <w:pPr>
        <w:ind w:left="2880" w:hanging="720"/>
      </w:pPr>
      <w:r w:rsidRPr="0037487E">
        <w:t>A</w:t>
      </w:r>
      <w:r>
        <w:t>)</w:t>
      </w:r>
      <w:r>
        <w:tab/>
      </w:r>
      <w:r w:rsidRPr="0037487E">
        <w:t xml:space="preserve">The Illinois Professional Teaching Standards (IPTS) </w:t>
      </w:r>
      <w:r w:rsidR="00920422">
        <w:t xml:space="preserve">(see </w:t>
      </w:r>
      <w:r w:rsidR="007F5FC4">
        <w:t xml:space="preserve">105 </w:t>
      </w:r>
      <w:r w:rsidR="00920422">
        <w:t xml:space="preserve">ILCS 5/21-0.01) and </w:t>
      </w:r>
      <w:r w:rsidR="008C306A">
        <w:t>23 Ill. Adm. Code 24</w:t>
      </w:r>
      <w:r w:rsidRPr="0037487E">
        <w:t xml:space="preserve"> (</w:t>
      </w:r>
      <w:r w:rsidR="007F5FC4" w:rsidRPr="000D770F">
        <w:t>http://www.isbe.net/</w:t>
      </w:r>
      <w:r w:rsidRPr="000D770F">
        <w:t>profprep.PDFs/ipts.pdf</w:t>
      </w:r>
      <w:r w:rsidRPr="0037487E">
        <w:t>);</w:t>
      </w:r>
    </w:p>
    <w:p w14:paraId="3B4697A2" w14:textId="77777777" w:rsidR="00C94188" w:rsidRPr="0037487E" w:rsidRDefault="00C94188" w:rsidP="0037487E"/>
    <w:p w14:paraId="1E340522" w14:textId="77777777" w:rsidR="00C94188" w:rsidRPr="0037487E" w:rsidRDefault="00C94188" w:rsidP="0037487E">
      <w:pPr>
        <w:ind w:left="2880" w:hanging="720"/>
      </w:pPr>
      <w:r w:rsidRPr="0037487E">
        <w:t>B</w:t>
      </w:r>
      <w:r>
        <w:t>)</w:t>
      </w:r>
      <w:r>
        <w:tab/>
      </w:r>
      <w:r w:rsidRPr="0037487E">
        <w:t>The Illinois Early Childhood Education Content-Area Standards (http://www.isbe.net/earlychi/pdf/early</w:t>
      </w:r>
      <w:r w:rsidRPr="0037487E">
        <w:rPr>
          <w:bCs/>
        </w:rPr>
        <w:t>_</w:t>
      </w:r>
      <w:r w:rsidRPr="0037487E">
        <w:t>learning</w:t>
      </w:r>
      <w:r w:rsidRPr="0037487E">
        <w:rPr>
          <w:bCs/>
        </w:rPr>
        <w:t>_</w:t>
      </w:r>
      <w:r w:rsidRPr="0037487E">
        <w:t>standards.pdf);</w:t>
      </w:r>
    </w:p>
    <w:p w14:paraId="4CB5B6AD" w14:textId="77777777" w:rsidR="00C94188" w:rsidRPr="0037487E" w:rsidRDefault="00C94188" w:rsidP="0037487E"/>
    <w:p w14:paraId="722DF611" w14:textId="1E0D0D59" w:rsidR="00C94188" w:rsidRPr="0037487E" w:rsidRDefault="00C94188" w:rsidP="0037487E">
      <w:pPr>
        <w:ind w:left="2880" w:hanging="720"/>
      </w:pPr>
      <w:r w:rsidRPr="0037487E">
        <w:t>C</w:t>
      </w:r>
      <w:r>
        <w:t>)</w:t>
      </w:r>
      <w:r>
        <w:tab/>
      </w:r>
      <w:r w:rsidRPr="0037487E">
        <w:t xml:space="preserve">The Professional Standards for Teacher Preparation by the National Association for the Education of Young Children (http://www.naeyc.org/faculty/pdf/2002.pdf and </w:t>
      </w:r>
      <w:r w:rsidRPr="000D770F">
        <w:t>http://www.naeyc.org/faculty/pdf/2003.pdf</w:t>
      </w:r>
      <w:r w:rsidRPr="0037487E">
        <w:t>); and</w:t>
      </w:r>
    </w:p>
    <w:p w14:paraId="6845E79B" w14:textId="77777777" w:rsidR="00C94188" w:rsidRPr="0037487E" w:rsidRDefault="00C94188" w:rsidP="0037487E"/>
    <w:p w14:paraId="5CD301D8" w14:textId="77777777" w:rsidR="00C94188" w:rsidRPr="0037487E" w:rsidRDefault="00C94188" w:rsidP="0037487E">
      <w:pPr>
        <w:ind w:left="2880" w:hanging="720"/>
      </w:pPr>
      <w:r w:rsidRPr="0037487E">
        <w:t>D</w:t>
      </w:r>
      <w:r>
        <w:t>)</w:t>
      </w:r>
      <w:r>
        <w:tab/>
      </w:r>
      <w:r w:rsidRPr="0037487E">
        <w:t>The Council on Accreditation</w:t>
      </w:r>
      <w:r w:rsidR="008C306A">
        <w:t>'s</w:t>
      </w:r>
      <w:r w:rsidRPr="0037487E">
        <w:t xml:space="preserve"> Afterschool Standards (http://www.coaafterschool.org/standards.php).</w:t>
      </w:r>
    </w:p>
    <w:p w14:paraId="25FAA1D3" w14:textId="77777777" w:rsidR="00C94188" w:rsidRPr="0037487E" w:rsidRDefault="00C94188" w:rsidP="0037487E"/>
    <w:p w14:paraId="1B1ED3C7" w14:textId="77777777" w:rsidR="00C94188" w:rsidRPr="0037487E" w:rsidRDefault="00C94188" w:rsidP="0037487E">
      <w:pPr>
        <w:ind w:left="2160" w:hanging="720"/>
      </w:pPr>
      <w:r w:rsidRPr="0037487E">
        <w:t>2</w:t>
      </w:r>
      <w:r>
        <w:t>)</w:t>
      </w:r>
      <w:r>
        <w:tab/>
      </w:r>
      <w:r w:rsidRPr="0037487E">
        <w:t>The knowledge, skills and dispositions for adults working with families align with other sets of recognized professional family support services standards, such as, but not limited to:</w:t>
      </w:r>
    </w:p>
    <w:p w14:paraId="08AF2EA5" w14:textId="77777777" w:rsidR="00C94188" w:rsidRPr="0037487E" w:rsidRDefault="00C94188" w:rsidP="0037487E"/>
    <w:p w14:paraId="439D3001" w14:textId="77777777" w:rsidR="00C94188" w:rsidRPr="0037487E" w:rsidRDefault="00C94188" w:rsidP="0037487E">
      <w:pPr>
        <w:ind w:left="2880" w:hanging="720"/>
      </w:pPr>
      <w:r w:rsidRPr="0037487E">
        <w:t>A</w:t>
      </w:r>
      <w:r w:rsidRPr="008C306A">
        <w:t>)</w:t>
      </w:r>
      <w:r w:rsidRPr="008C306A">
        <w:tab/>
      </w:r>
      <w:smartTag w:uri="urn:schemas-microsoft-com:office:smarttags" w:element="stockticker">
        <w:r w:rsidRPr="0037487E">
          <w:t>ACF</w:t>
        </w:r>
      </w:smartTag>
      <w:r w:rsidRPr="0037487E">
        <w:t xml:space="preserve"> Office of Head Start Competency Goals and Indicators (</w:t>
      </w:r>
      <w:r w:rsidR="008C306A" w:rsidRPr="00991738">
        <w:t>http://eclkc.ohs.acf.hhs.gov/hslc/Family_and</w:t>
      </w:r>
      <w:r w:rsidR="008C306A" w:rsidRPr="0037487E">
        <w:t>_Community</w:t>
      </w:r>
      <w:r w:rsidR="008C306A" w:rsidRPr="00991738">
        <w:t>_ Partnerships</w:t>
      </w:r>
      <w:r w:rsidRPr="0037487E">
        <w:t>);</w:t>
      </w:r>
    </w:p>
    <w:p w14:paraId="00477BD2" w14:textId="77777777" w:rsidR="00C94188" w:rsidRPr="0037487E" w:rsidRDefault="00C94188" w:rsidP="0037487E"/>
    <w:p w14:paraId="5165D884" w14:textId="416D12BD" w:rsidR="00C94188" w:rsidRPr="0037487E" w:rsidRDefault="00C94188" w:rsidP="0037487E">
      <w:pPr>
        <w:ind w:left="2880" w:hanging="720"/>
      </w:pPr>
      <w:r w:rsidRPr="0037487E">
        <w:t>B</w:t>
      </w:r>
      <w:r>
        <w:t>)</w:t>
      </w:r>
      <w:r>
        <w:tab/>
      </w:r>
      <w:r w:rsidRPr="0037487E">
        <w:t>Family and Community Development Credential (</w:t>
      </w:r>
      <w:r w:rsidRPr="000D770F">
        <w:t>http://www.iacaanet.org/pdi.php</w:t>
      </w:r>
      <w:r w:rsidRPr="0037487E">
        <w:t>); and</w:t>
      </w:r>
    </w:p>
    <w:p w14:paraId="4B3026C1" w14:textId="77777777" w:rsidR="00C94188" w:rsidRPr="0037487E" w:rsidRDefault="00C94188" w:rsidP="0037487E"/>
    <w:p w14:paraId="114BAA6F" w14:textId="77777777" w:rsidR="00C94188" w:rsidRPr="0037487E" w:rsidRDefault="00C94188" w:rsidP="0037487E">
      <w:pPr>
        <w:ind w:left="2880" w:hanging="720"/>
      </w:pPr>
      <w:r w:rsidRPr="0037487E">
        <w:t>C</w:t>
      </w:r>
      <w:r>
        <w:t>)</w:t>
      </w:r>
      <w:r>
        <w:tab/>
      </w:r>
      <w:r w:rsidRPr="0037487E">
        <w:t>Cornell University Family Development Credential (http://www.human.cornell.edu/HD/</w:t>
      </w:r>
      <w:smartTag w:uri="urn:schemas-microsoft-com:office:smarttags" w:element="stockticker">
        <w:r w:rsidRPr="0037487E">
          <w:t>FDC</w:t>
        </w:r>
      </w:smartTag>
      <w:r w:rsidRPr="0037487E">
        <w:t>).</w:t>
      </w:r>
    </w:p>
    <w:p w14:paraId="1ED62284" w14:textId="77777777" w:rsidR="001C71C2" w:rsidRDefault="001C71C2" w:rsidP="00C94188"/>
    <w:p w14:paraId="17F6F2A7" w14:textId="77777777" w:rsidR="00C94188" w:rsidRPr="00D55B37" w:rsidRDefault="00C94188">
      <w:pPr>
        <w:pStyle w:val="JCARSourceNote"/>
        <w:ind w:left="720"/>
      </w:pPr>
      <w:r w:rsidRPr="00D55B37">
        <w:t xml:space="preserve">(Source:  Added at </w:t>
      </w:r>
      <w:r>
        <w:t>36</w:t>
      </w:r>
      <w:r w:rsidRPr="00D55B37">
        <w:t xml:space="preserve"> Ill. Reg. </w:t>
      </w:r>
      <w:r w:rsidR="0035757C">
        <w:t>16085</w:t>
      </w:r>
      <w:r w:rsidRPr="00D55B37">
        <w:t xml:space="preserve">, effective </w:t>
      </w:r>
      <w:r w:rsidR="0035757C">
        <w:t>October 29, 2012</w:t>
      </w:r>
      <w:r w:rsidRPr="00D55B37">
        <w:t>)</w:t>
      </w:r>
    </w:p>
    <w:sectPr w:rsidR="00C9418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AB3F" w14:textId="77777777" w:rsidR="00F229FA" w:rsidRDefault="00F229FA">
      <w:r>
        <w:separator/>
      </w:r>
    </w:p>
  </w:endnote>
  <w:endnote w:type="continuationSeparator" w:id="0">
    <w:p w14:paraId="328EE8CF" w14:textId="77777777" w:rsidR="00F229FA" w:rsidRDefault="00F2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BC31" w14:textId="77777777" w:rsidR="00F229FA" w:rsidRDefault="00F229FA">
      <w:r>
        <w:separator/>
      </w:r>
    </w:p>
  </w:footnote>
  <w:footnote w:type="continuationSeparator" w:id="0">
    <w:p w14:paraId="3CA985E7" w14:textId="77777777" w:rsidR="00F229FA" w:rsidRDefault="00F22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37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70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E0E"/>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57C"/>
    <w:rsid w:val="00367A2E"/>
    <w:rsid w:val="00374367"/>
    <w:rsid w:val="00374639"/>
    <w:rsid w:val="0037487E"/>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969"/>
    <w:rsid w:val="004014FB"/>
    <w:rsid w:val="00404222"/>
    <w:rsid w:val="0040431F"/>
    <w:rsid w:val="00420E63"/>
    <w:rsid w:val="004218A0"/>
    <w:rsid w:val="00426A13"/>
    <w:rsid w:val="00431CFE"/>
    <w:rsid w:val="004326E0"/>
    <w:rsid w:val="004378C7"/>
    <w:rsid w:val="00441A81"/>
    <w:rsid w:val="004448CB"/>
    <w:rsid w:val="00444EB6"/>
    <w:rsid w:val="004454F6"/>
    <w:rsid w:val="0045029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75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5FC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06A"/>
    <w:rsid w:val="008C4FAF"/>
    <w:rsid w:val="008C5359"/>
    <w:rsid w:val="008D7182"/>
    <w:rsid w:val="008E68BC"/>
    <w:rsid w:val="008F2BEE"/>
    <w:rsid w:val="009053C8"/>
    <w:rsid w:val="00910413"/>
    <w:rsid w:val="00915C6D"/>
    <w:rsid w:val="009168BC"/>
    <w:rsid w:val="00920422"/>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A3D"/>
    <w:rsid w:val="0099173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75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6C3"/>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418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02D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29FA"/>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40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70C3DC9"/>
  <w15:docId w15:val="{71D1459A-69A7-44E6-A448-2ABFA34F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C94188"/>
    <w:rPr>
      <w:color w:val="0000FF"/>
      <w:u w:val="single"/>
    </w:rPr>
  </w:style>
  <w:style w:type="character" w:styleId="UnresolvedMention">
    <w:name w:val="Unresolved Mention"/>
    <w:basedOn w:val="DefaultParagraphFont"/>
    <w:uiPriority w:val="99"/>
    <w:semiHidden/>
    <w:unhideWhenUsed/>
    <w:rsid w:val="00FA2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3072</CharactersWithSpaces>
  <SharedDoc>false</SharedDoc>
  <HLinks>
    <vt:vector size="30" baseType="variant">
      <vt:variant>
        <vt:i4>7602219</vt:i4>
      </vt:variant>
      <vt:variant>
        <vt:i4>12</vt:i4>
      </vt:variant>
      <vt:variant>
        <vt:i4>0</vt:i4>
      </vt:variant>
      <vt:variant>
        <vt:i4>5</vt:i4>
      </vt:variant>
      <vt:variant>
        <vt:lpwstr>http://www.iacaanet.org/pdi.php</vt:lpwstr>
      </vt:variant>
      <vt:variant>
        <vt:lpwstr/>
      </vt:variant>
      <vt:variant>
        <vt:i4>6094970</vt:i4>
      </vt:variant>
      <vt:variant>
        <vt:i4>9</vt:i4>
      </vt:variant>
      <vt:variant>
        <vt:i4>0</vt:i4>
      </vt:variant>
      <vt:variant>
        <vt:i4>5</vt:i4>
      </vt:variant>
      <vt:variant>
        <vt:lpwstr>http://eclkc.ohs.acf.hhs.gov/hslc/Family_and_Community_ Partnerships</vt:lpwstr>
      </vt:variant>
      <vt:variant>
        <vt:lpwstr/>
      </vt:variant>
      <vt:variant>
        <vt:i4>327756</vt:i4>
      </vt:variant>
      <vt:variant>
        <vt:i4>6</vt:i4>
      </vt:variant>
      <vt:variant>
        <vt:i4>0</vt:i4>
      </vt:variant>
      <vt:variant>
        <vt:i4>5</vt:i4>
      </vt:variant>
      <vt:variant>
        <vt:lpwstr>http://www.naeyc.org/faculty/pdf/2003.pdf</vt:lpwstr>
      </vt:variant>
      <vt:variant>
        <vt:lpwstr/>
      </vt:variant>
      <vt:variant>
        <vt:i4>4456540</vt:i4>
      </vt:variant>
      <vt:variant>
        <vt:i4>3</vt:i4>
      </vt:variant>
      <vt:variant>
        <vt:i4>0</vt:i4>
      </vt:variant>
      <vt:variant>
        <vt:i4>5</vt:i4>
      </vt:variant>
      <vt:variant>
        <vt:lpwstr>http://www.isbe.net/</vt:lpwstr>
      </vt:variant>
      <vt:variant>
        <vt:lpwstr/>
      </vt:variant>
      <vt:variant>
        <vt:i4>1114115</vt:i4>
      </vt:variant>
      <vt:variant>
        <vt:i4>0</vt:i4>
      </vt:variant>
      <vt:variant>
        <vt:i4>0</vt:i4>
      </vt:variant>
      <vt:variant>
        <vt:i4>5</vt:i4>
      </vt:variant>
      <vt:variant>
        <vt:lpwstr>http://www.ilgateways.com/en/higher-education-institution-faculty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2012-11-01T14:46:00Z</dcterms:created>
  <dcterms:modified xsi:type="dcterms:W3CDTF">2024-07-15T17:38:00Z</dcterms:modified>
</cp:coreProperties>
</file>