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94" w:rsidRPr="00227538" w:rsidRDefault="00CD7B94" w:rsidP="00D91AC9">
      <w:bookmarkStart w:id="0" w:name="_GoBack"/>
      <w:bookmarkEnd w:id="0"/>
    </w:p>
    <w:p w:rsidR="00CD7B94" w:rsidRPr="00227538" w:rsidRDefault="00CD7B94" w:rsidP="00D91AC9">
      <w:pPr>
        <w:rPr>
          <w:b/>
        </w:rPr>
      </w:pPr>
      <w:r w:rsidRPr="00227538">
        <w:rPr>
          <w:b/>
        </w:rPr>
        <w:t>Section 1200.300 Scope</w:t>
      </w:r>
    </w:p>
    <w:p w:rsidR="00CD7B94" w:rsidRPr="00227538" w:rsidRDefault="00CD7B94" w:rsidP="00D91AC9"/>
    <w:p w:rsidR="00CD7B94" w:rsidRPr="00227538" w:rsidRDefault="00B537E1" w:rsidP="00D91AC9">
      <w:r>
        <w:t>T</w:t>
      </w:r>
      <w:r w:rsidR="00CD7B94" w:rsidRPr="00227538">
        <w:t xml:space="preserve">his Subpart C shall be applicable only to costs incurred in support of </w:t>
      </w:r>
      <w:r w:rsidR="003E666C">
        <w:t>s</w:t>
      </w:r>
      <w:r w:rsidR="00CD7B94" w:rsidRPr="00227538">
        <w:t xml:space="preserve">pecial </w:t>
      </w:r>
      <w:r w:rsidR="003E666C">
        <w:t>p</w:t>
      </w:r>
      <w:r w:rsidR="00CD7B94" w:rsidRPr="00227538">
        <w:t>rocurements, to the extent that the Agency is permitted by statute to recover its costs.</w:t>
      </w:r>
    </w:p>
    <w:sectPr w:rsidR="00CD7B94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A2" w:rsidRDefault="007931A2">
      <w:r>
        <w:separator/>
      </w:r>
    </w:p>
  </w:endnote>
  <w:endnote w:type="continuationSeparator" w:id="0">
    <w:p w:rsidR="007931A2" w:rsidRDefault="0079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A2" w:rsidRDefault="007931A2">
      <w:r>
        <w:separator/>
      </w:r>
    </w:p>
  </w:footnote>
  <w:footnote w:type="continuationSeparator" w:id="0">
    <w:p w:rsidR="007931A2" w:rsidRDefault="0079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59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98A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FA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48F5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66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C6E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59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E44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1A2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7E1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B94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03B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AC9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4E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9E7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9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9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