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DFD" w:rsidRDefault="00716DFD" w:rsidP="00716DFD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656.70  Rider</w:t>
      </w:r>
      <w:proofErr w:type="gramEnd"/>
      <w:r>
        <w:rPr>
          <w:b/>
          <w:bCs/>
        </w:rPr>
        <w:t xml:space="preserve"> and Information Sheet Filings</w:t>
      </w:r>
      <w:r>
        <w:t xml:space="preserve"> </w:t>
      </w:r>
    </w:p>
    <w:p w:rsidR="00716DFD" w:rsidRDefault="00716DFD" w:rsidP="00716DFD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utility shall file a proposed </w:t>
      </w:r>
      <w:proofErr w:type="spellStart"/>
      <w:r>
        <w:t>QIP</w:t>
      </w:r>
      <w:proofErr w:type="spellEnd"/>
      <w:r>
        <w:t xml:space="preserve"> surcharge rider consistent with this Part pursuant to Section 9-201 of the Act. After a </w:t>
      </w:r>
      <w:proofErr w:type="spellStart"/>
      <w:r>
        <w:t>QIP</w:t>
      </w:r>
      <w:proofErr w:type="spellEnd"/>
      <w:r>
        <w:t xml:space="preserve"> surcharge rider is in effect, the </w:t>
      </w:r>
      <w:proofErr w:type="spellStart"/>
      <w:r>
        <w:t>QIP</w:t>
      </w:r>
      <w:proofErr w:type="spellEnd"/>
      <w:r>
        <w:t xml:space="preserve"> surcharge percentage shall be filed on an information sheet with supporting data no later than the 20</w:t>
      </w:r>
      <w:r w:rsidRPr="00630183">
        <w:rPr>
          <w:vertAlign w:val="superscript"/>
        </w:rPr>
        <w:t>th</w:t>
      </w:r>
      <w:r>
        <w:t xml:space="preserve"> day of the month preceding the effective date of the </w:t>
      </w:r>
      <w:proofErr w:type="spellStart"/>
      <w:r>
        <w:t>QIP</w:t>
      </w:r>
      <w:proofErr w:type="spellEnd"/>
      <w:r>
        <w:t xml:space="preserve"> surcharge percentage. An information sheet with supporting data filed after that date, but prior to the effective date, shall be accepted only if it corrects an error or errors from a timely filed information sheet for the same effective date. Any other information sheet with supporting data shall be accepted only if submitted as a special permission request to become effective on less than 45 </w:t>
      </w:r>
      <w:proofErr w:type="spellStart"/>
      <w:r>
        <w:t>days notice</w:t>
      </w:r>
      <w:proofErr w:type="spellEnd"/>
      <w:r>
        <w:t xml:space="preserve"> under the provisions of Section 9-201(a) of the Act.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utilities electing annual prospective operation, a utility may file its initial information sheet with a </w:t>
      </w:r>
      <w:proofErr w:type="spellStart"/>
      <w:r>
        <w:t>QIP</w:t>
      </w:r>
      <w:proofErr w:type="spellEnd"/>
      <w:r>
        <w:t xml:space="preserve"> surcharge percentage for the initial operation year with an effective date of the first day of any month.  The effective date of any subsequent information sheet with a </w:t>
      </w:r>
      <w:proofErr w:type="spellStart"/>
      <w:r>
        <w:t>QIP</w:t>
      </w:r>
      <w:proofErr w:type="spellEnd"/>
      <w:r>
        <w:t xml:space="preserve"> surcharge percentage is January 1 (and April 1 if the R component is modified). A utility may, at its option, file an information sheet modifying the </w:t>
      </w:r>
      <w:proofErr w:type="spellStart"/>
      <w:r w:rsidR="003676D0">
        <w:t>QIP</w:t>
      </w:r>
      <w:proofErr w:type="spellEnd"/>
      <w:r w:rsidR="003676D0">
        <w:t xml:space="preserve"> </w:t>
      </w:r>
      <w:r>
        <w:t xml:space="preserve">surcharge percentage, with an effective date of the first day of any month during the operation year, when necessary to recognize a material change in assumptions used in developing the </w:t>
      </w:r>
      <w:proofErr w:type="spellStart"/>
      <w:r>
        <w:t>QIP</w:t>
      </w:r>
      <w:proofErr w:type="spellEnd"/>
      <w:r>
        <w:t xml:space="preserve"> surcharge percentage (including, but not limited to, a change in depreciation rates). The utility shall also file an information sheet to implement a Commission-ordered O </w:t>
      </w:r>
      <w:proofErr w:type="gramStart"/>
      <w:r>
        <w:t>component</w:t>
      </w:r>
      <w:proofErr w:type="gramEnd"/>
      <w:r>
        <w:t xml:space="preserve">.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utilities electing quarterly historical operation, a new </w:t>
      </w:r>
      <w:proofErr w:type="spellStart"/>
      <w:r w:rsidR="003676D0">
        <w:t>QIP</w:t>
      </w:r>
      <w:proofErr w:type="spellEnd"/>
      <w:r w:rsidR="003676D0">
        <w:t xml:space="preserve"> </w:t>
      </w:r>
      <w:r>
        <w:t xml:space="preserve">surcharge percentage may become effective on April 1, July 1, October 1, and January 1 (with a new R component becoming effective, if required, on April 1). A utility may elect not to file an information sheet showing an increased </w:t>
      </w:r>
      <w:proofErr w:type="spellStart"/>
      <w:r>
        <w:t>QIP</w:t>
      </w:r>
      <w:proofErr w:type="spellEnd"/>
      <w:r>
        <w:t xml:space="preserve"> surcharge percentage for any quarter provided that the </w:t>
      </w:r>
      <w:proofErr w:type="spellStart"/>
      <w:r>
        <w:t>QIP</w:t>
      </w:r>
      <w:proofErr w:type="spellEnd"/>
      <w:r>
        <w:t xml:space="preserve"> costs that would have been reflected for that quarter </w:t>
      </w:r>
      <w:r w:rsidR="003676D0">
        <w:t xml:space="preserve">are </w:t>
      </w:r>
      <w:r>
        <w:t xml:space="preserve">in excess of the level reflected in developing the </w:t>
      </w:r>
      <w:proofErr w:type="spellStart"/>
      <w:r>
        <w:t>QIP</w:t>
      </w:r>
      <w:proofErr w:type="spellEnd"/>
      <w:r>
        <w:t xml:space="preserve"> surcharge percentage in effect for the quarter are disregarded in calculating the R component and O component for the affected reconciliation year.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utility electing annual prospective operation shall provide the following with the filing of each information sheet to become effective on January 1: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calculation of the </w:t>
      </w:r>
      <w:proofErr w:type="spellStart"/>
      <w:r>
        <w:t>QIP</w:t>
      </w:r>
      <w:proofErr w:type="spellEnd"/>
      <w:r>
        <w:t xml:space="preserve"> surcharge percentage, PTR, and </w:t>
      </w:r>
      <w:proofErr w:type="spellStart"/>
      <w:r>
        <w:t>GRCF</w:t>
      </w:r>
      <w:proofErr w:type="spellEnd"/>
      <w:r>
        <w:t xml:space="preserve"> for each rate zone for which a </w:t>
      </w:r>
      <w:proofErr w:type="spellStart"/>
      <w:r>
        <w:t>QIP</w:t>
      </w:r>
      <w:proofErr w:type="spellEnd"/>
      <w:r>
        <w:t xml:space="preserve"> surcharge rider is in effect;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schedule showing, for each rate zone for which a </w:t>
      </w:r>
      <w:proofErr w:type="spellStart"/>
      <w:r>
        <w:t>QIP</w:t>
      </w:r>
      <w:proofErr w:type="spellEnd"/>
      <w:r>
        <w:t xml:space="preserve"> surcharge rider is in effect, the amount of forecasted expenditures for </w:t>
      </w:r>
      <w:proofErr w:type="spellStart"/>
      <w:r>
        <w:t>QIP</w:t>
      </w:r>
      <w:proofErr w:type="spellEnd"/>
      <w:r>
        <w:t xml:space="preserve"> during the operation year by plant account;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description, for each rate zone for which a </w:t>
      </w:r>
      <w:proofErr w:type="spellStart"/>
      <w:r>
        <w:t>QIP</w:t>
      </w:r>
      <w:proofErr w:type="spellEnd"/>
      <w:r>
        <w:t xml:space="preserve"> surcharge rider is in </w:t>
      </w:r>
      <w:r>
        <w:lastRenderedPageBreak/>
        <w:t xml:space="preserve">effect, of the projects included in each plant account by type of project;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detailed description, for each rate zone for which a </w:t>
      </w:r>
      <w:proofErr w:type="spellStart"/>
      <w:r>
        <w:t>QIP</w:t>
      </w:r>
      <w:proofErr w:type="spellEnd"/>
      <w:r>
        <w:t xml:space="preserve"> surcharge rider is in effect, of individual </w:t>
      </w:r>
      <w:proofErr w:type="spellStart"/>
      <w:r>
        <w:t>QIP</w:t>
      </w:r>
      <w:proofErr w:type="spellEnd"/>
      <w:r>
        <w:t xml:space="preserve"> projects with a forecasted cost in excess of $100,000;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detailed schedule showing the calculation of depreciation expense for each rate zone for which a </w:t>
      </w:r>
      <w:proofErr w:type="spellStart"/>
      <w:r>
        <w:t>QIP</w:t>
      </w:r>
      <w:proofErr w:type="spellEnd"/>
      <w:r>
        <w:t xml:space="preserve"> surcharge rider is in effect;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3676D0" w:rsidRDefault="003676D0" w:rsidP="003676D0">
      <w:pPr>
        <w:widowControl w:val="0"/>
        <w:autoSpaceDE w:val="0"/>
        <w:autoSpaceDN w:val="0"/>
        <w:adjustRightInd w:val="0"/>
        <w:ind w:left="2160" w:hanging="720"/>
      </w:pPr>
      <w:r w:rsidRPr="0029353E">
        <w:t>6)</w:t>
      </w:r>
      <w:r>
        <w:tab/>
      </w:r>
      <w:r w:rsidRPr="0029353E">
        <w:t xml:space="preserve">A detailed schedule showing the calculation of accumulated deferred income taxes associated with </w:t>
      </w:r>
      <w:proofErr w:type="spellStart"/>
      <w:r w:rsidRPr="0029353E">
        <w:t>QIP</w:t>
      </w:r>
      <w:proofErr w:type="spellEnd"/>
      <w:r w:rsidRPr="0029353E">
        <w:t xml:space="preserve"> for each rate zone for which a </w:t>
      </w:r>
      <w:proofErr w:type="spellStart"/>
      <w:r w:rsidRPr="0029353E">
        <w:t>QIP</w:t>
      </w:r>
      <w:proofErr w:type="spellEnd"/>
      <w:r w:rsidRPr="0029353E">
        <w:t xml:space="preserve"> surcharge rider is in effect; and</w:t>
      </w:r>
    </w:p>
    <w:p w:rsidR="003676D0" w:rsidRPr="0029353E" w:rsidRDefault="003676D0" w:rsidP="00947050">
      <w:pPr>
        <w:widowControl w:val="0"/>
        <w:autoSpaceDE w:val="0"/>
        <w:autoSpaceDN w:val="0"/>
        <w:adjustRightInd w:val="0"/>
      </w:pPr>
    </w:p>
    <w:p w:rsidR="00716DFD" w:rsidRDefault="003676D0" w:rsidP="00716DFD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716DFD">
        <w:t>)</w:t>
      </w:r>
      <w:r w:rsidR="00716DFD">
        <w:tab/>
        <w:t xml:space="preserve">A statement verified by an officer of the utility that, in the belief of management: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forecast used in developing the </w:t>
      </w:r>
      <w:proofErr w:type="spellStart"/>
      <w:r>
        <w:t>QIP</w:t>
      </w:r>
      <w:proofErr w:type="spellEnd"/>
      <w:r>
        <w:t xml:space="preserve"> surcharge percentage was prepared in accordance with the </w:t>
      </w:r>
      <w:r w:rsidR="00B54131">
        <w:t>2017</w:t>
      </w:r>
      <w:r w:rsidR="003676D0">
        <w:t xml:space="preserve"> Prospective</w:t>
      </w:r>
      <w:r>
        <w:t xml:space="preserve"> Financial Information </w:t>
      </w:r>
      <w:r w:rsidR="003676D0">
        <w:t>Guide (</w:t>
      </w:r>
      <w:r w:rsidR="00B54131">
        <w:t>April 1, 2017</w:t>
      </w:r>
      <w:r w:rsidR="003676D0">
        <w:t>)</w:t>
      </w:r>
      <w:r>
        <w:t xml:space="preserve"> established by the American Institute of Certified Public Accountants, Inc., 1211 Avenue of the Americas, New York NY 10036-8775; and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accounting treatment applied to events and transactions in the forecast is the same as the accounting treatment to be applied in recording the events once they occur.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utility electing quarterly historical operation shall submit with each information sheet: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calculation of the </w:t>
      </w:r>
      <w:proofErr w:type="spellStart"/>
      <w:r>
        <w:t>QIP</w:t>
      </w:r>
      <w:proofErr w:type="spellEnd"/>
      <w:r>
        <w:t xml:space="preserve"> surcharge percentage, PTR and </w:t>
      </w:r>
      <w:proofErr w:type="spellStart"/>
      <w:r>
        <w:t>GRCF</w:t>
      </w:r>
      <w:proofErr w:type="spellEnd"/>
      <w:r>
        <w:t xml:space="preserve"> for each rate zone for which a </w:t>
      </w:r>
      <w:proofErr w:type="spellStart"/>
      <w:r>
        <w:t>QIP</w:t>
      </w:r>
      <w:proofErr w:type="spellEnd"/>
      <w:r>
        <w:t xml:space="preserve"> surcharge rider is in effect;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detailed schedule, for each rate zone for which a </w:t>
      </w:r>
      <w:proofErr w:type="spellStart"/>
      <w:r>
        <w:t>QIP</w:t>
      </w:r>
      <w:proofErr w:type="spellEnd"/>
      <w:r>
        <w:t xml:space="preserve"> surcharge rider is in effect, providing the following information for each completed </w:t>
      </w:r>
      <w:proofErr w:type="spellStart"/>
      <w:r>
        <w:t>QIP</w:t>
      </w:r>
      <w:proofErr w:type="spellEnd"/>
      <w:r>
        <w:t xml:space="preserve"> eligible project whose cost has been transferred to utility plant with the closing of the </w:t>
      </w:r>
      <w:proofErr w:type="spellStart"/>
      <w:r>
        <w:t>QIP</w:t>
      </w:r>
      <w:proofErr w:type="spellEnd"/>
      <w:r>
        <w:t xml:space="preserve"> eligible project's work order: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Plant account number and title;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Category of project;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Project name;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Description of project;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Work order number;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Dollar amount in the month of closing; and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Month and year of closing; </w:t>
      </w:r>
    </w:p>
    <w:p w:rsidR="0046101E" w:rsidRDefault="0046101E" w:rsidP="00947050">
      <w:pPr>
        <w:widowControl w:val="0"/>
        <w:autoSpaceDE w:val="0"/>
        <w:autoSpaceDN w:val="0"/>
        <w:adjustRightInd w:val="0"/>
      </w:pPr>
    </w:p>
    <w:p w:rsidR="00716DFD" w:rsidRDefault="00716DFD" w:rsidP="00716DF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detailed schedule showing the calculation of depreciation expense for each rate zone for which a </w:t>
      </w:r>
      <w:proofErr w:type="spellStart"/>
      <w:r>
        <w:t>QIP</w:t>
      </w:r>
      <w:proofErr w:type="spellEnd"/>
      <w:r>
        <w:t xml:space="preserve"> surcharge rider is in effect</w:t>
      </w:r>
      <w:r w:rsidR="003676D0">
        <w:t>; and</w:t>
      </w:r>
      <w:r>
        <w:t xml:space="preserve"> </w:t>
      </w:r>
    </w:p>
    <w:p w:rsidR="003676D0" w:rsidRDefault="003676D0" w:rsidP="00947050">
      <w:pPr>
        <w:widowControl w:val="0"/>
        <w:autoSpaceDE w:val="0"/>
        <w:autoSpaceDN w:val="0"/>
        <w:adjustRightInd w:val="0"/>
      </w:pPr>
    </w:p>
    <w:p w:rsidR="003676D0" w:rsidRDefault="003676D0" w:rsidP="003676D0">
      <w:pPr>
        <w:widowControl w:val="0"/>
        <w:autoSpaceDE w:val="0"/>
        <w:autoSpaceDN w:val="0"/>
        <w:adjustRightInd w:val="0"/>
        <w:ind w:left="2160" w:hanging="720"/>
      </w:pPr>
      <w:r w:rsidRPr="000D6E7B">
        <w:t>4)</w:t>
      </w:r>
      <w:r>
        <w:tab/>
      </w:r>
      <w:r w:rsidRPr="000D6E7B">
        <w:t xml:space="preserve">A detailed schedule showing the calculation of accumulated deferred income taxes associated with </w:t>
      </w:r>
      <w:proofErr w:type="spellStart"/>
      <w:r w:rsidRPr="000D6E7B">
        <w:t>QIP</w:t>
      </w:r>
      <w:proofErr w:type="spellEnd"/>
      <w:r w:rsidRPr="000D6E7B">
        <w:t xml:space="preserve"> for each rate zone for which a </w:t>
      </w:r>
      <w:proofErr w:type="spellStart"/>
      <w:r w:rsidRPr="000D6E7B">
        <w:t>QIP</w:t>
      </w:r>
      <w:proofErr w:type="spellEnd"/>
      <w:r w:rsidRPr="000D6E7B">
        <w:t xml:space="preserve"> surcharge rider is in effect.</w:t>
      </w:r>
      <w:r>
        <w:t xml:space="preserve"> </w:t>
      </w:r>
    </w:p>
    <w:p w:rsidR="003676D0" w:rsidRDefault="003676D0" w:rsidP="009470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76D0" w:rsidRDefault="00B54131" w:rsidP="003676D0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A7400C">
        <w:t>3</w:t>
      </w:r>
      <w:r>
        <w:t xml:space="preserve"> Ill. Reg. </w:t>
      </w:r>
      <w:r w:rsidR="00F444FC">
        <w:t>8843</w:t>
      </w:r>
      <w:r>
        <w:t xml:space="preserve">, effective </w:t>
      </w:r>
      <w:r w:rsidR="00F444FC">
        <w:t>August 2, 2019</w:t>
      </w:r>
      <w:r>
        <w:t>)</w:t>
      </w:r>
    </w:p>
    <w:sectPr w:rsidR="003676D0" w:rsidSect="00716D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6DFD"/>
    <w:rsid w:val="001443EC"/>
    <w:rsid w:val="002E1795"/>
    <w:rsid w:val="003676D0"/>
    <w:rsid w:val="0044239A"/>
    <w:rsid w:val="0046101E"/>
    <w:rsid w:val="005C3366"/>
    <w:rsid w:val="00630183"/>
    <w:rsid w:val="00716DFD"/>
    <w:rsid w:val="00744D5C"/>
    <w:rsid w:val="00766318"/>
    <w:rsid w:val="008F78FC"/>
    <w:rsid w:val="00947050"/>
    <w:rsid w:val="00A7400C"/>
    <w:rsid w:val="00B54131"/>
    <w:rsid w:val="00CD0671"/>
    <w:rsid w:val="00DB1C33"/>
    <w:rsid w:val="00F4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24EC05-8C53-4E0E-BB1D-587757F5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656</vt:lpstr>
    </vt:vector>
  </TitlesOfParts>
  <Company>State of Illinois</Company>
  <LinksUpToDate>false</LinksUpToDate>
  <CharactersWithSpaces>5039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656</dc:title>
  <dc:subject/>
  <dc:creator>Illinois General Assembly</dc:creator>
  <cp:keywords/>
  <dc:description/>
  <cp:lastModifiedBy>Lane, Arlene L.</cp:lastModifiedBy>
  <cp:revision>4</cp:revision>
  <dcterms:created xsi:type="dcterms:W3CDTF">2019-06-03T18:30:00Z</dcterms:created>
  <dcterms:modified xsi:type="dcterms:W3CDTF">2019-08-13T19:13:00Z</dcterms:modified>
</cp:coreProperties>
</file>