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C9D" w:rsidRDefault="002D2C9D" w:rsidP="002D2C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2C9D" w:rsidRDefault="002D2C9D" w:rsidP="002D2C9D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8100.900  Impairment</w:t>
      </w:r>
      <w:r>
        <w:t xml:space="preserve"> </w:t>
      </w:r>
    </w:p>
    <w:p w:rsidR="002D2C9D" w:rsidRDefault="002D2C9D" w:rsidP="002D2C9D">
      <w:pPr>
        <w:widowControl w:val="0"/>
        <w:autoSpaceDE w:val="0"/>
        <w:autoSpaceDN w:val="0"/>
        <w:adjustRightInd w:val="0"/>
      </w:pPr>
    </w:p>
    <w:p w:rsidR="002D2C9D" w:rsidRDefault="002D2C9D" w:rsidP="002D2C9D">
      <w:pPr>
        <w:widowControl w:val="0"/>
        <w:autoSpaceDE w:val="0"/>
        <w:autoSpaceDN w:val="0"/>
        <w:adjustRightInd w:val="0"/>
      </w:pPr>
      <w:r>
        <w:t xml:space="preserve">Impairment occurs: </w:t>
      </w:r>
    </w:p>
    <w:p w:rsidR="002068CB" w:rsidRDefault="002068CB" w:rsidP="002D2C9D">
      <w:pPr>
        <w:widowControl w:val="0"/>
        <w:autoSpaceDE w:val="0"/>
        <w:autoSpaceDN w:val="0"/>
        <w:adjustRightInd w:val="0"/>
      </w:pPr>
    </w:p>
    <w:p w:rsidR="002D2C9D" w:rsidRDefault="002D2C9D" w:rsidP="002D2C9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8A7107">
        <w:t>when</w:t>
      </w:r>
      <w:r>
        <w:t xml:space="preserve"> an insurer does not possess assets equal to at least its total statutory liabilities</w:t>
      </w:r>
      <w:r w:rsidR="008A7107">
        <w:t>;</w:t>
      </w:r>
      <w:r>
        <w:t xml:space="preserve"> or </w:t>
      </w:r>
    </w:p>
    <w:p w:rsidR="002068CB" w:rsidRDefault="002068CB" w:rsidP="002D2C9D">
      <w:pPr>
        <w:widowControl w:val="0"/>
        <w:autoSpaceDE w:val="0"/>
        <w:autoSpaceDN w:val="0"/>
        <w:adjustRightInd w:val="0"/>
        <w:ind w:left="1440" w:hanging="720"/>
      </w:pPr>
    </w:p>
    <w:p w:rsidR="002D2C9D" w:rsidRDefault="002D2C9D" w:rsidP="002D2C9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8A7107">
        <w:t>when</w:t>
      </w:r>
      <w:r>
        <w:t xml:space="preserve"> its surplus as regards policyholders is 75% or less of the paid-up capital as shown in the most recent annual statement of the company on file with the </w:t>
      </w:r>
      <w:r w:rsidR="005E29CE">
        <w:t>Division</w:t>
      </w:r>
      <w:r>
        <w:t xml:space="preserve">. </w:t>
      </w:r>
    </w:p>
    <w:p w:rsidR="005E29CE" w:rsidRDefault="005E29CE" w:rsidP="002D2C9D">
      <w:pPr>
        <w:widowControl w:val="0"/>
        <w:autoSpaceDE w:val="0"/>
        <w:autoSpaceDN w:val="0"/>
        <w:adjustRightInd w:val="0"/>
        <w:ind w:left="1440" w:hanging="720"/>
      </w:pPr>
    </w:p>
    <w:p w:rsidR="005E29CE" w:rsidRPr="00D55B37" w:rsidRDefault="005E29C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16D66">
        <w:t>4</w:t>
      </w:r>
      <w:r>
        <w:t xml:space="preserve"> I</w:t>
      </w:r>
      <w:r w:rsidRPr="00D55B37">
        <w:t xml:space="preserve">ll. Reg. </w:t>
      </w:r>
      <w:r w:rsidR="00B62DCD">
        <w:t>852</w:t>
      </w:r>
      <w:r w:rsidRPr="00D55B37">
        <w:t xml:space="preserve">, effective </w:t>
      </w:r>
      <w:r w:rsidR="00B62DCD">
        <w:t>December 29, 2009</w:t>
      </w:r>
      <w:r w:rsidRPr="00D55B37">
        <w:t>)</w:t>
      </w:r>
    </w:p>
    <w:sectPr w:rsidR="005E29CE" w:rsidRPr="00D55B37" w:rsidSect="002D2C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2C9D"/>
    <w:rsid w:val="002068CB"/>
    <w:rsid w:val="002D2C9D"/>
    <w:rsid w:val="004A5B6E"/>
    <w:rsid w:val="005C3366"/>
    <w:rsid w:val="005E29CE"/>
    <w:rsid w:val="00616D66"/>
    <w:rsid w:val="007B46DC"/>
    <w:rsid w:val="008A7107"/>
    <w:rsid w:val="00B62DCD"/>
    <w:rsid w:val="00C24C97"/>
    <w:rsid w:val="00D2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E29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E2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