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75" w:rsidRDefault="00283175" w:rsidP="002831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3175" w:rsidRDefault="00283175" w:rsidP="002831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8100.245  Definition of the term</w:t>
      </w:r>
      <w:r>
        <w:t xml:space="preserve"> </w:t>
      </w:r>
      <w:r w:rsidRPr="002B6361">
        <w:rPr>
          <w:b/>
          <w:bCs/>
          <w:iCs/>
        </w:rPr>
        <w:t>"Net Retained Liability"</w:t>
      </w:r>
      <w:r>
        <w:t xml:space="preserve"> </w:t>
      </w:r>
      <w:r>
        <w:rPr>
          <w:b/>
          <w:bCs/>
        </w:rPr>
        <w:t>as Used in Sections 8.(a) and 11.(c)(2) of the Act</w:t>
      </w:r>
      <w:r>
        <w:t xml:space="preserve"> </w:t>
      </w:r>
    </w:p>
    <w:p w:rsidR="00283175" w:rsidRDefault="00283175" w:rsidP="00283175">
      <w:pPr>
        <w:widowControl w:val="0"/>
        <w:autoSpaceDE w:val="0"/>
        <w:autoSpaceDN w:val="0"/>
        <w:adjustRightInd w:val="0"/>
      </w:pPr>
    </w:p>
    <w:p w:rsidR="00283175" w:rsidRDefault="00283175" w:rsidP="00283175">
      <w:pPr>
        <w:widowControl w:val="0"/>
        <w:autoSpaceDE w:val="0"/>
        <w:autoSpaceDN w:val="0"/>
        <w:adjustRightInd w:val="0"/>
      </w:pPr>
      <w:r>
        <w:t xml:space="preserve">The term </w:t>
      </w:r>
      <w:r w:rsidRPr="002B6361">
        <w:rPr>
          <w:iCs/>
        </w:rPr>
        <w:t>"Net Retained Liability"</w:t>
      </w:r>
      <w:r>
        <w:t xml:space="preserve"> as used in Sections 8.(a) and 11.(c)(2) of the Act shall mean the total liability retained by a title insurance company for a single risk, after taking into account the deduction for ceded liability, if any. </w:t>
      </w:r>
    </w:p>
    <w:sectPr w:rsidR="00283175" w:rsidSect="00283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175"/>
    <w:rsid w:val="001C6ABF"/>
    <w:rsid w:val="00283175"/>
    <w:rsid w:val="002B6361"/>
    <w:rsid w:val="005C3366"/>
    <w:rsid w:val="00E00699"/>
    <w:rsid w:val="00F4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