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4F" w:rsidRDefault="00146F4F" w:rsidP="00146F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E11" w:rsidRDefault="00146F4F" w:rsidP="00146F4F">
      <w:pPr>
        <w:widowControl w:val="0"/>
        <w:autoSpaceDE w:val="0"/>
        <w:autoSpaceDN w:val="0"/>
        <w:adjustRightInd w:val="0"/>
      </w:pPr>
      <w:r>
        <w:t>AUTHORITY:  Implementing and authorized by the Title Insurance Act [215 ILCS 155].</w:t>
      </w:r>
      <w:r w:rsidR="00AB0E11">
        <w:t xml:space="preserve"> </w:t>
      </w:r>
    </w:p>
    <w:sectPr w:rsidR="00AB0E11" w:rsidSect="00C3212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E11"/>
    <w:rsid w:val="00146F4F"/>
    <w:rsid w:val="00834A7F"/>
    <w:rsid w:val="0091721C"/>
    <w:rsid w:val="00A61037"/>
    <w:rsid w:val="00AB0E11"/>
    <w:rsid w:val="00B55BE8"/>
    <w:rsid w:val="00C32127"/>
    <w:rsid w:val="00D10765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F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F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Title Insurance Act [215 ILCS 155]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Title Insurance Act [215 ILCS 155]</dc:title>
  <dc:subject/>
  <dc:creator>saboch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