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ABC" w:rsidRDefault="00EA0ABC" w:rsidP="00EA0ABC">
      <w:pPr>
        <w:widowControl w:val="0"/>
        <w:autoSpaceDE w:val="0"/>
        <w:autoSpaceDN w:val="0"/>
        <w:adjustRightInd w:val="0"/>
      </w:pPr>
      <w:bookmarkStart w:id="0" w:name="_GoBack"/>
      <w:bookmarkEnd w:id="0"/>
    </w:p>
    <w:p w:rsidR="00EA0ABC" w:rsidRDefault="00EA0ABC" w:rsidP="00EA0ABC">
      <w:pPr>
        <w:widowControl w:val="0"/>
        <w:autoSpaceDE w:val="0"/>
        <w:autoSpaceDN w:val="0"/>
        <w:adjustRightInd w:val="0"/>
      </w:pPr>
      <w:r>
        <w:rPr>
          <w:b/>
          <w:bCs/>
        </w:rPr>
        <w:t>Section 7080.20  Payment of Proceeds of Litigation</w:t>
      </w:r>
      <w:r>
        <w:t xml:space="preserve"> </w:t>
      </w:r>
    </w:p>
    <w:p w:rsidR="00EA0ABC" w:rsidRDefault="00EA0ABC" w:rsidP="00EA0ABC">
      <w:pPr>
        <w:widowControl w:val="0"/>
        <w:autoSpaceDE w:val="0"/>
        <w:autoSpaceDN w:val="0"/>
        <w:adjustRightInd w:val="0"/>
      </w:pPr>
    </w:p>
    <w:p w:rsidR="00EA0ABC" w:rsidRDefault="00EA0ABC" w:rsidP="00EA0ABC">
      <w:pPr>
        <w:widowControl w:val="0"/>
        <w:autoSpaceDE w:val="0"/>
        <w:autoSpaceDN w:val="0"/>
        <w:adjustRightInd w:val="0"/>
      </w:pPr>
      <w:r>
        <w:t xml:space="preserve">Unless otherwise directed by the petitioner or the Commission, the respondent, its agent or insurance carrier, shall deliver the first payment of accrued compensation following an award or settlement to the offices of the attorney of record for the petitioner.  Unless otherwise directed by the petitioner or the Commission, all subsequent payments of an award shall be delivered to the petitioner. </w:t>
      </w:r>
    </w:p>
    <w:sectPr w:rsidR="00EA0ABC" w:rsidSect="00EA0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ABC"/>
    <w:rsid w:val="005C3366"/>
    <w:rsid w:val="00AD4000"/>
    <w:rsid w:val="00C46A6B"/>
    <w:rsid w:val="00EA0ABC"/>
    <w:rsid w:val="00F7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7080</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7080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