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F3" w:rsidRDefault="00D82EF3" w:rsidP="00D82EF3">
      <w:pPr>
        <w:rPr>
          <w:b/>
        </w:rPr>
      </w:pPr>
      <w:r>
        <w:rPr>
          <w:b/>
        </w:rPr>
        <w:br w:type="page"/>
      </w:r>
    </w:p>
    <w:p w:rsidR="00D82EF3" w:rsidRDefault="00D82EF3" w:rsidP="00D82EF3">
      <w:pPr>
        <w:rPr>
          <w:b/>
        </w:rPr>
      </w:pPr>
      <w:r>
        <w:rPr>
          <w:b/>
        </w:rPr>
        <w:lastRenderedPageBreak/>
        <w:t>Section 5701.EXHIBIT E   Individual Mortality Report and Instructions – Illinois Transactions Only (Form VSP-003)</w:t>
      </w:r>
    </w:p>
    <w:p w:rsidR="00D82EF3" w:rsidRDefault="00D82EF3" w:rsidP="00D82EF3">
      <w:pPr>
        <w:rPr>
          <w:b/>
        </w:rPr>
      </w:pPr>
    </w:p>
    <w:tbl>
      <w:tblPr>
        <w:tblW w:w="0" w:type="auto"/>
        <w:tblLook w:val="04A0" w:firstRow="1" w:lastRow="0" w:firstColumn="1" w:lastColumn="0" w:noHBand="0" w:noVBand="1"/>
      </w:tblPr>
      <w:tblGrid>
        <w:gridCol w:w="2510"/>
        <w:gridCol w:w="5154"/>
        <w:gridCol w:w="1696"/>
      </w:tblGrid>
      <w:tr w:rsidR="00D82EF3" w:rsidTr="00D82EF3">
        <w:tc>
          <w:tcPr>
            <w:tcW w:w="2565" w:type="dxa"/>
            <w:tcBorders>
              <w:top w:val="nil"/>
              <w:left w:val="nil"/>
              <w:bottom w:val="single" w:sz="4" w:space="0" w:color="auto"/>
              <w:right w:val="nil"/>
            </w:tcBorders>
            <w:vAlign w:val="bottom"/>
          </w:tcPr>
          <w:p w:rsidR="00D82EF3" w:rsidRDefault="00D82EF3"/>
        </w:tc>
        <w:tc>
          <w:tcPr>
            <w:tcW w:w="5295" w:type="dxa"/>
            <w:vAlign w:val="bottom"/>
            <w:hideMark/>
          </w:tcPr>
          <w:p w:rsidR="00D82EF3" w:rsidRDefault="00D82EF3">
            <w:pPr>
              <w:ind w:left="-645"/>
              <w:jc w:val="center"/>
            </w:pPr>
            <w:r>
              <w:rPr>
                <w:b/>
              </w:rPr>
              <w:t>Individual Mortality Report</w:t>
            </w:r>
          </w:p>
        </w:tc>
        <w:tc>
          <w:tcPr>
            <w:tcW w:w="1716" w:type="dxa"/>
            <w:vAlign w:val="bottom"/>
            <w:hideMark/>
          </w:tcPr>
          <w:p w:rsidR="00D82EF3" w:rsidRDefault="00D82EF3">
            <w:pPr>
              <w:jc w:val="right"/>
            </w:pPr>
            <w:r>
              <w:t>Calendar year</w:t>
            </w:r>
          </w:p>
        </w:tc>
      </w:tr>
      <w:tr w:rsidR="00D82EF3" w:rsidTr="00D82EF3">
        <w:trPr>
          <w:trHeight w:val="260"/>
        </w:trPr>
        <w:tc>
          <w:tcPr>
            <w:tcW w:w="2565" w:type="dxa"/>
            <w:tcBorders>
              <w:top w:val="single" w:sz="4" w:space="0" w:color="auto"/>
              <w:left w:val="nil"/>
              <w:bottom w:val="nil"/>
              <w:right w:val="nil"/>
            </w:tcBorders>
            <w:vAlign w:val="center"/>
            <w:hideMark/>
          </w:tcPr>
          <w:p w:rsidR="00D82EF3" w:rsidRDefault="00D82EF3">
            <w:pPr>
              <w:ind w:left="-108" w:right="-108"/>
              <w:jc w:val="center"/>
              <w:rPr>
                <w:sz w:val="16"/>
                <w:szCs w:val="16"/>
              </w:rPr>
            </w:pPr>
            <w:r>
              <w:rPr>
                <w:sz w:val="16"/>
                <w:szCs w:val="16"/>
              </w:rPr>
              <w:t>Viatical Settlement Provider's Name</w:t>
            </w:r>
          </w:p>
        </w:tc>
        <w:tc>
          <w:tcPr>
            <w:tcW w:w="5295" w:type="dxa"/>
            <w:vAlign w:val="center"/>
            <w:hideMark/>
          </w:tcPr>
          <w:p w:rsidR="00D82EF3" w:rsidRDefault="00D82EF3">
            <w:pPr>
              <w:ind w:left="-645"/>
              <w:jc w:val="center"/>
            </w:pPr>
            <w:r>
              <w:t>Illinois Transactions Only</w:t>
            </w:r>
          </w:p>
        </w:tc>
        <w:tc>
          <w:tcPr>
            <w:tcW w:w="1716" w:type="dxa"/>
            <w:hideMark/>
          </w:tcPr>
          <w:p w:rsidR="00D82EF3" w:rsidRDefault="00D82EF3">
            <w:pPr>
              <w:jc w:val="right"/>
            </w:pPr>
            <w:r>
              <w:t>20____</w:t>
            </w:r>
          </w:p>
        </w:tc>
      </w:tr>
    </w:tbl>
    <w:p w:rsidR="00D82EF3" w:rsidRDefault="00D82EF3" w:rsidP="00D82EF3">
      <w:pPr>
        <w:pStyle w:val="xl35"/>
        <w:pBdr>
          <w:left w:val="none" w:sz="0" w:space="0" w:color="auto"/>
          <w:right w:val="none" w:sz="0" w:space="0" w:color="auto"/>
        </w:pBdr>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10"/>
        <w:gridCol w:w="945"/>
        <w:gridCol w:w="963"/>
        <w:gridCol w:w="819"/>
        <w:gridCol w:w="693"/>
        <w:gridCol w:w="963"/>
        <w:gridCol w:w="1062"/>
        <w:gridCol w:w="1098"/>
        <w:gridCol w:w="1260"/>
      </w:tblGrid>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85"/>
              <w:jc w:val="center"/>
              <w:rPr>
                <w:rFonts w:ascii="Times New Roman" w:hAnsi="Times New Roman" w:cs="Times New Roman" w:hint="eastAsia"/>
                <w:b/>
              </w:rPr>
            </w:pPr>
            <w:r>
              <w:rPr>
                <w:b/>
              </w:rPr>
              <w:br w:type="page"/>
            </w:r>
            <w:r>
              <w:rPr>
                <w:rFonts w:ascii="Times New Roman" w:hAnsi="Times New Roman" w:cs="Times New Roman"/>
                <w:b/>
                <w:bCs/>
              </w:rPr>
              <w:t>1</w:t>
            </w:r>
          </w:p>
        </w:tc>
        <w:tc>
          <w:tcPr>
            <w:tcW w:w="81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58"/>
              <w:jc w:val="center"/>
              <w:rPr>
                <w:rFonts w:ascii="Times New Roman" w:hAnsi="Times New Roman" w:cs="Times New Roman"/>
                <w:b/>
              </w:rPr>
            </w:pPr>
            <w:r>
              <w:rPr>
                <w:rFonts w:ascii="Times New Roman" w:hAnsi="Times New Roman" w:cs="Times New Roman"/>
                <w:b/>
                <w:bCs/>
              </w:rPr>
              <w:t>2</w:t>
            </w:r>
          </w:p>
        </w:tc>
        <w:tc>
          <w:tcPr>
            <w:tcW w:w="945"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24" w:right="-67"/>
              <w:jc w:val="center"/>
              <w:rPr>
                <w:rFonts w:ascii="Times New Roman" w:hAnsi="Times New Roman" w:cs="Times New Roman"/>
                <w:b/>
              </w:rPr>
            </w:pPr>
            <w:r>
              <w:rPr>
                <w:rFonts w:ascii="Times New Roman" w:hAnsi="Times New Roman" w:cs="Times New Roman"/>
                <w:b/>
                <w:bCs/>
              </w:rPr>
              <w:t>3</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85"/>
              <w:jc w:val="center"/>
              <w:rPr>
                <w:rFonts w:ascii="Times New Roman" w:hAnsi="Times New Roman" w:cs="Times New Roman"/>
                <w:b/>
              </w:rPr>
            </w:pPr>
            <w:r>
              <w:rPr>
                <w:rFonts w:ascii="Times New Roman" w:hAnsi="Times New Roman" w:cs="Times New Roman"/>
                <w:b/>
                <w:bCs/>
              </w:rPr>
              <w:t>4</w:t>
            </w:r>
          </w:p>
        </w:tc>
        <w:tc>
          <w:tcPr>
            <w:tcW w:w="819"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4" w:right="-103"/>
              <w:jc w:val="center"/>
              <w:rPr>
                <w:rFonts w:ascii="Times New Roman" w:hAnsi="Times New Roman" w:cs="Times New Roman"/>
                <w:b/>
              </w:rPr>
            </w:pPr>
            <w:r>
              <w:rPr>
                <w:rFonts w:ascii="Times New Roman" w:hAnsi="Times New Roman" w:cs="Times New Roman"/>
                <w:b/>
                <w:bC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13" w:right="-130"/>
              <w:jc w:val="center"/>
              <w:rPr>
                <w:rFonts w:ascii="Times New Roman" w:hAnsi="Times New Roman" w:cs="Times New Roman"/>
                <w:b/>
              </w:rPr>
            </w:pPr>
            <w:r>
              <w:rPr>
                <w:rFonts w:ascii="Times New Roman" w:hAnsi="Times New Roman" w:cs="Times New Roman"/>
                <w:b/>
                <w:bCs/>
              </w:rPr>
              <w:t>6</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86" w:right="-67"/>
              <w:jc w:val="center"/>
              <w:rPr>
                <w:rFonts w:ascii="Times New Roman" w:hAnsi="Times New Roman" w:cs="Times New Roman"/>
                <w:b/>
              </w:rPr>
            </w:pPr>
            <w:r>
              <w:rPr>
                <w:rFonts w:ascii="Times New Roman" w:hAnsi="Times New Roman" w:cs="Times New Roman"/>
                <w:b/>
                <w:bCs/>
              </w:rPr>
              <w:t>7</w:t>
            </w:r>
          </w:p>
        </w:tc>
        <w:tc>
          <w:tcPr>
            <w:tcW w:w="1062"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85"/>
              <w:jc w:val="center"/>
              <w:rPr>
                <w:rFonts w:ascii="Times New Roman" w:hAnsi="Times New Roman" w:cs="Times New Roman"/>
                <w:b/>
              </w:rPr>
            </w:pPr>
            <w:r>
              <w:rPr>
                <w:rFonts w:ascii="Times New Roman" w:hAnsi="Times New Roman" w:cs="Times New Roman"/>
                <w:b/>
                <w:bCs/>
              </w:rPr>
              <w:t>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67"/>
              <w:jc w:val="center"/>
              <w:rPr>
                <w:rFonts w:ascii="Times New Roman" w:hAnsi="Times New Roman" w:cs="Times New Roman"/>
                <w:b/>
              </w:rPr>
            </w:pPr>
            <w:r>
              <w:rPr>
                <w:rFonts w:ascii="Times New Roman" w:hAnsi="Times New Roman" w:cs="Times New Roman"/>
                <w:b/>
                <w:bCs/>
              </w:rPr>
              <w:t>9</w:t>
            </w:r>
          </w:p>
        </w:tc>
        <w:tc>
          <w:tcPr>
            <w:tcW w:w="126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67"/>
              <w:jc w:val="center"/>
              <w:rPr>
                <w:rFonts w:ascii="Times New Roman" w:hAnsi="Times New Roman" w:cs="Times New Roman"/>
                <w:b/>
              </w:rPr>
            </w:pPr>
            <w:r>
              <w:rPr>
                <w:rFonts w:ascii="Times New Roman" w:hAnsi="Times New Roman" w:cs="Times New Roman"/>
                <w:b/>
              </w:rPr>
              <w:t>10</w:t>
            </w: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85"/>
              <w:jc w:val="center"/>
              <w:rPr>
                <w:rFonts w:ascii="Times New Roman" w:hAnsi="Times New Roman" w:cs="Times New Roman"/>
                <w:sz w:val="16"/>
                <w:szCs w:val="16"/>
              </w:rPr>
            </w:pPr>
            <w:r>
              <w:rPr>
                <w:rFonts w:ascii="Times New Roman" w:hAnsi="Times New Roman" w:cs="Times New Roman"/>
                <w:sz w:val="16"/>
                <w:szCs w:val="16"/>
              </w:rPr>
              <w:t>Viatical settlement provider's settlement number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58"/>
              <w:jc w:val="center"/>
              <w:rPr>
                <w:rFonts w:ascii="Times New Roman" w:hAnsi="Times New Roman" w:cs="Times New Roman"/>
                <w:sz w:val="16"/>
                <w:szCs w:val="16"/>
              </w:rPr>
            </w:pPr>
            <w:r>
              <w:rPr>
                <w:rFonts w:ascii="Times New Roman" w:hAnsi="Times New Roman" w:cs="Times New Roman"/>
                <w:sz w:val="16"/>
                <w:szCs w:val="16"/>
              </w:rPr>
              <w:t>Contract date</w:t>
            </w:r>
          </w:p>
        </w:tc>
        <w:tc>
          <w:tcPr>
            <w:tcW w:w="945"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24" w:right="-67"/>
              <w:jc w:val="center"/>
              <w:rPr>
                <w:rFonts w:ascii="Times New Roman" w:hAnsi="Times New Roman" w:cs="Times New Roman"/>
                <w:sz w:val="16"/>
                <w:szCs w:val="16"/>
              </w:rPr>
            </w:pPr>
            <w:r>
              <w:rPr>
                <w:rFonts w:ascii="Times New Roman" w:hAnsi="Times New Roman" w:cs="Times New Roman"/>
                <w:sz w:val="16"/>
                <w:szCs w:val="16"/>
              </w:rPr>
              <w:t xml:space="preserve">Age of insured at time of contract </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85"/>
              <w:jc w:val="center"/>
              <w:rPr>
                <w:rFonts w:ascii="Times New Roman" w:hAnsi="Times New Roman" w:cs="Times New Roman"/>
                <w:sz w:val="16"/>
                <w:szCs w:val="16"/>
              </w:rPr>
            </w:pPr>
            <w:r>
              <w:rPr>
                <w:rFonts w:ascii="Times New Roman" w:hAnsi="Times New Roman" w:cs="Times New Roman"/>
                <w:sz w:val="16"/>
                <w:szCs w:val="16"/>
              </w:rPr>
              <w:t>Life expectancy at time of contract</w:t>
            </w:r>
          </w:p>
        </w:tc>
        <w:tc>
          <w:tcPr>
            <w:tcW w:w="819"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4" w:right="-40"/>
              <w:jc w:val="center"/>
              <w:rPr>
                <w:rFonts w:ascii="Times New Roman" w:hAnsi="Times New Roman" w:cs="Times New Roman"/>
                <w:sz w:val="16"/>
                <w:szCs w:val="16"/>
              </w:rPr>
            </w:pPr>
            <w:r>
              <w:rPr>
                <w:rFonts w:ascii="Times New Roman" w:hAnsi="Times New Roman" w:cs="Times New Roman"/>
                <w:sz w:val="16"/>
                <w:szCs w:val="16"/>
              </w:rPr>
              <w:t>Net amount paid to viator</w:t>
            </w:r>
          </w:p>
        </w:tc>
        <w:tc>
          <w:tcPr>
            <w:tcW w:w="69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13" w:right="-130"/>
              <w:jc w:val="center"/>
              <w:rPr>
                <w:rFonts w:ascii="Times New Roman" w:hAnsi="Times New Roman" w:cs="Times New Roman"/>
                <w:sz w:val="16"/>
                <w:szCs w:val="16"/>
              </w:rPr>
            </w:pPr>
            <w:r>
              <w:rPr>
                <w:rFonts w:ascii="Times New Roman" w:hAnsi="Times New Roman" w:cs="Times New Roman"/>
                <w:sz w:val="16"/>
                <w:szCs w:val="16"/>
              </w:rPr>
              <w:t>Date of death</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86" w:right="-67"/>
              <w:jc w:val="center"/>
              <w:rPr>
                <w:rFonts w:ascii="Times New Roman" w:hAnsi="Times New Roman" w:cs="Times New Roman"/>
                <w:sz w:val="16"/>
                <w:szCs w:val="16"/>
              </w:rPr>
            </w:pPr>
            <w:r>
              <w:rPr>
                <w:rFonts w:ascii="Times New Roman" w:hAnsi="Times New Roman" w:cs="Times New Roman"/>
                <w:sz w:val="16"/>
                <w:szCs w:val="16"/>
              </w:rPr>
              <w:t>Total premiums paid to maintain policy</w:t>
            </w:r>
          </w:p>
        </w:tc>
        <w:tc>
          <w:tcPr>
            <w:tcW w:w="1062"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85"/>
              <w:jc w:val="center"/>
              <w:rPr>
                <w:rFonts w:ascii="Times New Roman" w:hAnsi="Times New Roman" w:cs="Times New Roman"/>
                <w:sz w:val="16"/>
                <w:szCs w:val="16"/>
              </w:rPr>
            </w:pPr>
            <w:r>
              <w:rPr>
                <w:rFonts w:ascii="Times New Roman" w:hAnsi="Times New Roman" w:cs="Times New Roman"/>
                <w:sz w:val="16"/>
                <w:szCs w:val="16"/>
              </w:rPr>
              <w:t>Death benefit collected</w:t>
            </w:r>
          </w:p>
        </w:tc>
        <w:tc>
          <w:tcPr>
            <w:tcW w:w="1098"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63" w:right="-67"/>
              <w:jc w:val="center"/>
              <w:rPr>
                <w:rFonts w:ascii="Times New Roman" w:hAnsi="Times New Roman" w:cs="Times New Roman"/>
                <w:sz w:val="16"/>
                <w:szCs w:val="16"/>
              </w:rPr>
            </w:pPr>
            <w:r>
              <w:rPr>
                <w:rFonts w:ascii="Times New Roman" w:hAnsi="Times New Roman" w:cs="Times New Roman"/>
                <w:sz w:val="16"/>
                <w:szCs w:val="16"/>
              </w:rPr>
              <w:t>Number of months between date of contract and date of death</w:t>
            </w:r>
          </w:p>
        </w:tc>
        <w:tc>
          <w:tcPr>
            <w:tcW w:w="126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31"/>
              <w:jc w:val="center"/>
              <w:rPr>
                <w:rFonts w:ascii="Times New Roman" w:hAnsi="Times New Roman" w:cs="Times New Roman"/>
                <w:sz w:val="16"/>
                <w:szCs w:val="16"/>
              </w:rPr>
            </w:pPr>
            <w:r>
              <w:rPr>
                <w:rFonts w:ascii="Times New Roman" w:hAnsi="Times New Roman" w:cs="Times New Roman"/>
                <w:sz w:val="16"/>
                <w:szCs w:val="16"/>
              </w:rPr>
              <w:t>Number of months between life expectancy at contract date and date of death (+ / -)</w:t>
            </w: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rPr>
                <w:rFonts w:hint="eastAsia"/>
              </w:rP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rPr>
                <w:rFonts w:hint="eastAsia"/>
              </w:rP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rPr>
                <w:rFonts w:hint="eastAsia"/>
              </w:rP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rPr>
                <w:rFonts w:hint="eastAsia"/>
              </w:rP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rPr>
                <w:rFonts w:hint="eastAsia"/>
              </w:rP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rPr>
                <w:rFonts w:hint="eastAsia"/>
              </w:rP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rPr>
                <w:rFonts w:hint="eastAsia"/>
              </w:rP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rPr>
                <w:rFonts w:hint="eastAsia"/>
              </w:rP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rPr>
                <w:rFonts w:hint="eastAsia"/>
              </w:rP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rPr>
                <w:rFonts w:hint="eastAsia"/>
              </w:rP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rPr>
                <w:rFonts w:hint="eastAsia"/>
              </w:rP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rPr>
                <w:rFonts w:hint="eastAsia"/>
              </w:rP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rPr>
                <w:rFonts w:hint="eastAsia"/>
              </w:rPr>
            </w:pPr>
          </w:p>
        </w:tc>
      </w:tr>
    </w:tbl>
    <w:p w:rsidR="00D82EF3" w:rsidRDefault="00D82EF3" w:rsidP="00D82EF3">
      <w:pPr>
        <w:pStyle w:val="xl35"/>
        <w:pBdr>
          <w:left w:val="none" w:sz="0" w:space="0" w:color="auto"/>
          <w:right w:val="none" w:sz="0" w:space="0" w:color="auto"/>
        </w:pBdr>
        <w:spacing w:before="0" w:beforeAutospacing="0" w:after="0" w:afterAutospacing="0"/>
        <w:rPr>
          <w:rFonts w:hint="eastAsia"/>
        </w:rPr>
      </w:pPr>
    </w:p>
    <w:tbl>
      <w:tblPr>
        <w:tblW w:w="0" w:type="auto"/>
        <w:tblLook w:val="04A0" w:firstRow="1" w:lastRow="0" w:firstColumn="1" w:lastColumn="0" w:noHBand="0" w:noVBand="1"/>
      </w:tblPr>
      <w:tblGrid>
        <w:gridCol w:w="2046"/>
        <w:gridCol w:w="4104"/>
      </w:tblGrid>
      <w:tr w:rsidR="00D82EF3" w:rsidTr="00D82EF3">
        <w:trPr>
          <w:trHeight w:val="324"/>
        </w:trPr>
        <w:tc>
          <w:tcPr>
            <w:tcW w:w="2046" w:type="dxa"/>
            <w:hideMark/>
          </w:tcPr>
          <w:p w:rsidR="00D82EF3" w:rsidRDefault="00D82EF3">
            <w:pPr>
              <w:ind w:left="-117" w:right="12"/>
              <w:rPr>
                <w:rFonts w:hint="eastAsia"/>
                <w:bCs/>
                <w:iCs/>
              </w:rPr>
            </w:pPr>
            <w:r>
              <w:rPr>
                <w:bCs/>
                <w:iCs/>
              </w:rPr>
              <w:t>Name of Preparer:</w:t>
            </w:r>
          </w:p>
        </w:tc>
        <w:tc>
          <w:tcPr>
            <w:tcW w:w="4104" w:type="dxa"/>
            <w:tcBorders>
              <w:top w:val="nil"/>
              <w:left w:val="nil"/>
              <w:bottom w:val="single" w:sz="4" w:space="0" w:color="auto"/>
              <w:right w:val="nil"/>
            </w:tcBorders>
          </w:tcPr>
          <w:p w:rsidR="00D82EF3" w:rsidRDefault="00D82EF3">
            <w:pPr>
              <w:ind w:right="12"/>
              <w:rPr>
                <w:bCs/>
                <w:iCs/>
              </w:rPr>
            </w:pPr>
          </w:p>
        </w:tc>
      </w:tr>
    </w:tbl>
    <w:p w:rsidR="00D82EF3" w:rsidRDefault="00D82EF3" w:rsidP="00D82EF3"/>
    <w:p w:rsidR="00D82EF3" w:rsidRDefault="00D82EF3" w:rsidP="00D82EF3"/>
    <w:p w:rsidR="00D82EF3" w:rsidRDefault="00D82EF3" w:rsidP="00D82EF3">
      <w:pPr>
        <w:jc w:val="center"/>
        <w:rPr>
          <w:b/>
        </w:rPr>
      </w:pPr>
      <w:r>
        <w:rPr>
          <w:b/>
        </w:rPr>
        <w:t>Instructions for Individual Mortality Report − Illinois Transactions Only</w:t>
      </w:r>
    </w:p>
    <w:p w:rsidR="00D82EF3" w:rsidRDefault="00D82EF3" w:rsidP="00D82EF3">
      <w:pPr>
        <w:jc w:val="center"/>
        <w:rPr>
          <w:b/>
        </w:rPr>
      </w:pPr>
    </w:p>
    <w:tbl>
      <w:tblPr>
        <w:tblW w:w="0" w:type="auto"/>
        <w:tblLook w:val="04A0" w:firstRow="1" w:lastRow="0" w:firstColumn="1" w:lastColumn="0" w:noHBand="0" w:noVBand="1"/>
      </w:tblPr>
      <w:tblGrid>
        <w:gridCol w:w="990"/>
        <w:gridCol w:w="8370"/>
      </w:tblGrid>
      <w:tr w:rsidR="00D82EF3" w:rsidTr="00D82EF3">
        <w:trPr>
          <w:trHeight w:val="396"/>
        </w:trPr>
        <w:tc>
          <w:tcPr>
            <w:tcW w:w="990" w:type="dxa"/>
            <w:vAlign w:val="center"/>
            <w:hideMark/>
          </w:tcPr>
          <w:p w:rsidR="00D82EF3" w:rsidRDefault="00D82EF3">
            <w:pPr>
              <w:jc w:val="center"/>
            </w:pPr>
            <w:r>
              <w:t>Column</w:t>
            </w:r>
          </w:p>
        </w:tc>
        <w:tc>
          <w:tcPr>
            <w:tcW w:w="8370" w:type="dxa"/>
          </w:tcPr>
          <w:p w:rsidR="00D82EF3" w:rsidRDefault="00D82EF3"/>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1</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settlement number, case number, or unique identifying number used to identify the specific viatical settlement transaction.</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2</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date of the viatical settlement contract.</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3</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age of the insured at the time of the contract.</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4</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life expectancy (in months) of the insured individual at the time of the viatical settlement contract.  For first to die policies, use the shortest life expectancy of the two lives. For second to die policies, use the longest life expectancy of the two lives.</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5</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"Net" amount paid to the viator.</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6</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Indicate the insured's date of death. For first to die policies, use the date of the first insured's death. For second to die policies, use the date of the last insured's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7</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total amount of premiums (in dollars) required to be paid to the insurer to maintain the policy from the date of viatication to the date of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8</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total death benefit collected from the insurer.</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9</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number of months between the date of contract and the insured's date of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10</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number of months between the life expectancy of the insured at the time of contract and the insured's date of death. This should be noted as a plus (+) figure if the insured died after the estimated life expectancy or a minus (-) if the insured died prior to the estimated life expectancy.</w:t>
            </w:r>
          </w:p>
        </w:tc>
      </w:tr>
    </w:tbl>
    <w:p w:rsidR="00D82EF3" w:rsidRDefault="00D82EF3" w:rsidP="00D82EF3">
      <w:pPr>
        <w:pStyle w:val="JCARSourceNote"/>
        <w:ind w:left="720"/>
      </w:pPr>
    </w:p>
    <w:p w:rsidR="00D82EF3" w:rsidRDefault="00D82EF3" w:rsidP="00D82EF3">
      <w:pPr>
        <w:pStyle w:val="JCARSourceNote"/>
        <w:ind w:left="720"/>
      </w:pPr>
      <w:r>
        <w:t>(Source:  Old EXHIBIT C renumbered to EXHIBIT E and amended at 39 Ill. Reg. 4975, effective March 23, 2015)</w:t>
      </w:r>
      <w:bookmarkStart w:id="0" w:name="_GoBack"/>
      <w:bookmarkEnd w:id="0"/>
    </w:p>
    <w:sectPr w:rsidR="00D82E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EA" w:rsidRDefault="00E720EA">
      <w:r>
        <w:separator/>
      </w:r>
    </w:p>
  </w:endnote>
  <w:endnote w:type="continuationSeparator" w:id="0">
    <w:p w:rsidR="00E720EA" w:rsidRDefault="00E7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EA" w:rsidRDefault="00E720EA">
      <w:r>
        <w:separator/>
      </w:r>
    </w:p>
  </w:footnote>
  <w:footnote w:type="continuationSeparator" w:id="0">
    <w:p w:rsidR="00E720EA" w:rsidRDefault="00E72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EA"/>
    <w:rsid w:val="00000AED"/>
    <w:rsid w:val="00001F1D"/>
    <w:rsid w:val="00003CEF"/>
    <w:rsid w:val="00005CAE"/>
    <w:rsid w:val="00011A7D"/>
    <w:rsid w:val="00011D38"/>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EB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854"/>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220"/>
    <w:rsid w:val="00461E78"/>
    <w:rsid w:val="0046272D"/>
    <w:rsid w:val="0047017E"/>
    <w:rsid w:val="00471A17"/>
    <w:rsid w:val="004724DC"/>
    <w:rsid w:val="00475906"/>
    <w:rsid w:val="00475AE2"/>
    <w:rsid w:val="0047794A"/>
    <w:rsid w:val="00477B8E"/>
    <w:rsid w:val="00483B7F"/>
    <w:rsid w:val="0048457F"/>
    <w:rsid w:val="004856D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D2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F7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C9D"/>
    <w:rsid w:val="00A24E55"/>
    <w:rsid w:val="00A26B95"/>
    <w:rsid w:val="00A3182D"/>
    <w:rsid w:val="00A319B1"/>
    <w:rsid w:val="00A31B74"/>
    <w:rsid w:val="00A327AB"/>
    <w:rsid w:val="00A3646E"/>
    <w:rsid w:val="00A42797"/>
    <w:rsid w:val="00A42F61"/>
    <w:rsid w:val="00A52BDD"/>
    <w:rsid w:val="00A56934"/>
    <w:rsid w:val="00A57593"/>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02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62F"/>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EF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0EA"/>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79550-92FF-4F46-B030-F23C4439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xl35">
    <w:name w:val="xl35"/>
    <w:basedOn w:val="Normal"/>
    <w:rsid w:val="006D3F7D"/>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DefaultText">
    <w:name w:val="Default Text"/>
    <w:basedOn w:val="Normal"/>
    <w:rsid w:val="006D3F7D"/>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50290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375</Words>
  <Characters>1907</Characters>
  <Application>Microsoft Office Word</Application>
  <DocSecurity>0</DocSecurity>
  <Lines>15</Lines>
  <Paragraphs>4</Paragraphs>
  <ScaleCrop>false</ScaleCrop>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5</cp:revision>
  <dcterms:created xsi:type="dcterms:W3CDTF">2015-03-16T19:54:00Z</dcterms:created>
  <dcterms:modified xsi:type="dcterms:W3CDTF">2015-03-27T21:37:00Z</dcterms:modified>
</cp:coreProperties>
</file>