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37908" w14:textId="77777777" w:rsidR="008367DA" w:rsidRPr="008160FD" w:rsidRDefault="008367DA" w:rsidP="00C479CD">
      <w:pPr>
        <w:rPr>
          <w:bCs/>
          <w:sz w:val="24"/>
          <w:szCs w:val="24"/>
        </w:rPr>
      </w:pPr>
    </w:p>
    <w:p w14:paraId="3E46F981" w14:textId="454F36BA" w:rsidR="008367DA" w:rsidRPr="00C479CD" w:rsidRDefault="008367DA" w:rsidP="00C479CD">
      <w:pPr>
        <w:rPr>
          <w:b/>
          <w:sz w:val="24"/>
          <w:szCs w:val="24"/>
        </w:rPr>
      </w:pPr>
      <w:r w:rsidRPr="00C479CD">
        <w:rPr>
          <w:b/>
          <w:sz w:val="24"/>
          <w:szCs w:val="24"/>
        </w:rPr>
        <w:t xml:space="preserve">Section </w:t>
      </w:r>
      <w:r w:rsidR="00C211C2">
        <w:rPr>
          <w:b/>
          <w:sz w:val="24"/>
          <w:szCs w:val="24"/>
        </w:rPr>
        <w:t>4515</w:t>
      </w:r>
      <w:r w:rsidRPr="00C479CD">
        <w:rPr>
          <w:b/>
          <w:sz w:val="24"/>
          <w:szCs w:val="24"/>
        </w:rPr>
        <w:t xml:space="preserve">.110  </w:t>
      </w:r>
      <w:r w:rsidR="00661EAA" w:rsidRPr="00661EAA">
        <w:rPr>
          <w:b/>
          <w:sz w:val="24"/>
          <w:szCs w:val="24"/>
        </w:rPr>
        <w:t>State-Provided Education Course Curriculum</w:t>
      </w:r>
    </w:p>
    <w:p w14:paraId="43DE9C49" w14:textId="77777777" w:rsidR="00A35FFE" w:rsidRPr="00825AEB" w:rsidRDefault="00A35FFE" w:rsidP="00825AEB">
      <w:pPr>
        <w:rPr>
          <w:sz w:val="24"/>
          <w:szCs w:val="24"/>
        </w:rPr>
      </w:pPr>
    </w:p>
    <w:p w14:paraId="13F1DC5C" w14:textId="5533576C" w:rsidR="00661EAA" w:rsidRPr="00825AEB" w:rsidRDefault="00661EAA" w:rsidP="00825AEB">
      <w:pPr>
        <w:ind w:left="1440" w:hanging="720"/>
        <w:rPr>
          <w:sz w:val="24"/>
          <w:szCs w:val="24"/>
        </w:rPr>
      </w:pPr>
      <w:r w:rsidRPr="00825AEB">
        <w:rPr>
          <w:sz w:val="24"/>
          <w:szCs w:val="24"/>
        </w:rPr>
        <w:t>a)</w:t>
      </w:r>
      <w:r w:rsidRPr="00825AEB">
        <w:rPr>
          <w:sz w:val="24"/>
          <w:szCs w:val="24"/>
        </w:rPr>
        <w:tab/>
        <w:t xml:space="preserve">Applicants and certificate holders seeking to satisfy initial or continuing education requirements for the applicable certification through </w:t>
      </w:r>
      <w:proofErr w:type="spellStart"/>
      <w:r w:rsidRPr="00825AEB">
        <w:rPr>
          <w:sz w:val="24"/>
          <w:szCs w:val="24"/>
        </w:rPr>
        <w:t>GCILMS</w:t>
      </w:r>
      <w:proofErr w:type="spellEnd"/>
      <w:r w:rsidRPr="00825AEB">
        <w:rPr>
          <w:sz w:val="24"/>
          <w:szCs w:val="24"/>
        </w:rPr>
        <w:t xml:space="preserve"> must demonstrate successful completion of Director-prescribed courses to increase their knowledge and understanding of private and public insurance principles, </w:t>
      </w:r>
      <w:proofErr w:type="spellStart"/>
      <w:r w:rsidRPr="00825AEB">
        <w:rPr>
          <w:sz w:val="24"/>
          <w:szCs w:val="24"/>
        </w:rPr>
        <w:t>QHP</w:t>
      </w:r>
      <w:proofErr w:type="spellEnd"/>
      <w:r w:rsidRPr="00825AEB">
        <w:rPr>
          <w:sz w:val="24"/>
          <w:szCs w:val="24"/>
        </w:rPr>
        <w:t xml:space="preserve"> options, applicable laws and regulations governing insurance affordability programs, eligibility, and benefits, Marketplace and Medicaid policies and operations, and outreach and education skills. Consistent with 45 CFR 155.210, 155.215, and 155.225, the curriculum for Navigators and In-Person Counselors will, and the curriculum for Certified Application Counselors may, contain modules covering topics that include, but are not limited to: </w:t>
      </w:r>
    </w:p>
    <w:p w14:paraId="409F8479" w14:textId="77777777" w:rsidR="00661EAA" w:rsidRPr="00825AEB" w:rsidRDefault="00661EAA" w:rsidP="00825AEB">
      <w:pPr>
        <w:rPr>
          <w:sz w:val="24"/>
          <w:szCs w:val="24"/>
        </w:rPr>
      </w:pPr>
    </w:p>
    <w:p w14:paraId="42A9E1A3" w14:textId="78CCE676" w:rsidR="00661EAA" w:rsidRPr="00661EAA" w:rsidRDefault="00661EAA" w:rsidP="00661EAA">
      <w:pPr>
        <w:ind w:left="1440"/>
        <w:rPr>
          <w:sz w:val="24"/>
          <w:szCs w:val="24"/>
        </w:rPr>
      </w:pPr>
      <w:r w:rsidRPr="00661EAA">
        <w:rPr>
          <w:sz w:val="24"/>
          <w:szCs w:val="24"/>
        </w:rPr>
        <w:t>1)</w:t>
      </w:r>
      <w:r>
        <w:rPr>
          <w:sz w:val="24"/>
          <w:szCs w:val="24"/>
        </w:rPr>
        <w:tab/>
      </w:r>
      <w:r w:rsidRPr="00661EAA">
        <w:rPr>
          <w:sz w:val="24"/>
          <w:szCs w:val="24"/>
        </w:rPr>
        <w:t>the needs of underserved and vulnerable populations;</w:t>
      </w:r>
    </w:p>
    <w:p w14:paraId="0A41EF3A" w14:textId="77777777" w:rsidR="00661EAA" w:rsidRPr="008160FD" w:rsidRDefault="00661EAA" w:rsidP="008160FD">
      <w:pPr>
        <w:rPr>
          <w:sz w:val="24"/>
          <w:szCs w:val="24"/>
        </w:rPr>
      </w:pPr>
    </w:p>
    <w:p w14:paraId="1E8342B6" w14:textId="393A2B9A" w:rsidR="00661EAA" w:rsidRPr="00661EAA" w:rsidRDefault="00661EAA" w:rsidP="00661EAA">
      <w:pPr>
        <w:ind w:left="1440"/>
        <w:rPr>
          <w:sz w:val="24"/>
          <w:szCs w:val="24"/>
        </w:rPr>
      </w:pPr>
      <w:r w:rsidRPr="00661EAA">
        <w:rPr>
          <w:sz w:val="24"/>
          <w:szCs w:val="24"/>
        </w:rPr>
        <w:t>2)</w:t>
      </w:r>
      <w:r>
        <w:rPr>
          <w:sz w:val="24"/>
          <w:szCs w:val="24"/>
        </w:rPr>
        <w:tab/>
      </w:r>
      <w:r w:rsidRPr="00661EAA">
        <w:rPr>
          <w:sz w:val="24"/>
          <w:szCs w:val="24"/>
        </w:rPr>
        <w:t>eligibility and enrollment rules and procedures;</w:t>
      </w:r>
    </w:p>
    <w:p w14:paraId="2CA31443" w14:textId="77777777" w:rsidR="00661EAA" w:rsidRPr="008160FD" w:rsidRDefault="00661EAA" w:rsidP="008160FD">
      <w:pPr>
        <w:rPr>
          <w:sz w:val="24"/>
          <w:szCs w:val="24"/>
        </w:rPr>
      </w:pPr>
    </w:p>
    <w:p w14:paraId="074D2782" w14:textId="4326DD4D" w:rsidR="00661EAA" w:rsidRPr="00661EAA" w:rsidRDefault="00661EAA" w:rsidP="00661EAA">
      <w:pPr>
        <w:ind w:left="1440"/>
        <w:rPr>
          <w:sz w:val="24"/>
          <w:szCs w:val="24"/>
        </w:rPr>
      </w:pPr>
      <w:r w:rsidRPr="00661EAA">
        <w:rPr>
          <w:sz w:val="24"/>
          <w:szCs w:val="24"/>
        </w:rPr>
        <w:t>3)</w:t>
      </w:r>
      <w:r>
        <w:rPr>
          <w:sz w:val="24"/>
          <w:szCs w:val="24"/>
        </w:rPr>
        <w:tab/>
      </w:r>
      <w:r w:rsidRPr="00661EAA">
        <w:rPr>
          <w:sz w:val="24"/>
          <w:szCs w:val="24"/>
        </w:rPr>
        <w:t xml:space="preserve">the range of </w:t>
      </w:r>
      <w:proofErr w:type="spellStart"/>
      <w:r w:rsidRPr="00661EAA">
        <w:rPr>
          <w:sz w:val="24"/>
          <w:szCs w:val="24"/>
        </w:rPr>
        <w:t>QHP</w:t>
      </w:r>
      <w:proofErr w:type="spellEnd"/>
      <w:r w:rsidRPr="00661EAA">
        <w:rPr>
          <w:sz w:val="24"/>
          <w:szCs w:val="24"/>
        </w:rPr>
        <w:t xml:space="preserve"> options and affordability programs; and</w:t>
      </w:r>
    </w:p>
    <w:p w14:paraId="35F15F8C" w14:textId="77777777" w:rsidR="00661EAA" w:rsidRPr="008160FD" w:rsidRDefault="00661EAA" w:rsidP="008160FD">
      <w:pPr>
        <w:rPr>
          <w:sz w:val="24"/>
          <w:szCs w:val="24"/>
        </w:rPr>
      </w:pPr>
    </w:p>
    <w:p w14:paraId="07EB55FB" w14:textId="40BADA75" w:rsidR="00661EAA" w:rsidRPr="00661EAA" w:rsidRDefault="00661EAA" w:rsidP="00661EAA">
      <w:pPr>
        <w:ind w:left="2160" w:hanging="720"/>
        <w:rPr>
          <w:sz w:val="24"/>
          <w:szCs w:val="24"/>
        </w:rPr>
      </w:pPr>
      <w:r w:rsidRPr="00661EAA">
        <w:rPr>
          <w:sz w:val="24"/>
          <w:szCs w:val="24"/>
        </w:rPr>
        <w:t>4)</w:t>
      </w:r>
      <w:r>
        <w:rPr>
          <w:sz w:val="24"/>
          <w:szCs w:val="24"/>
        </w:rPr>
        <w:tab/>
      </w:r>
      <w:r w:rsidRPr="00661EAA">
        <w:rPr>
          <w:sz w:val="24"/>
          <w:szCs w:val="24"/>
        </w:rPr>
        <w:t>privacy and security of personally identifiable information applicable under 45 CFR 155.260 (Sep. 6, 2016) (no later editions or amendments).</w:t>
      </w:r>
    </w:p>
    <w:p w14:paraId="6A4E22AC" w14:textId="77777777" w:rsidR="00661EAA" w:rsidRPr="00661EAA" w:rsidRDefault="00661EAA" w:rsidP="00661EAA">
      <w:pPr>
        <w:rPr>
          <w:sz w:val="24"/>
          <w:szCs w:val="24"/>
        </w:rPr>
      </w:pPr>
    </w:p>
    <w:p w14:paraId="52950BEE" w14:textId="600400F4" w:rsidR="00661EAA" w:rsidRPr="00661EAA" w:rsidRDefault="00661EAA" w:rsidP="00661EAA">
      <w:pPr>
        <w:ind w:left="1440" w:hanging="720"/>
        <w:rPr>
          <w:sz w:val="24"/>
          <w:szCs w:val="24"/>
        </w:rPr>
      </w:pPr>
      <w:r w:rsidRPr="00661EAA">
        <w:rPr>
          <w:sz w:val="24"/>
          <w:szCs w:val="24"/>
        </w:rPr>
        <w:t>b)</w:t>
      </w:r>
      <w:r>
        <w:rPr>
          <w:sz w:val="24"/>
          <w:szCs w:val="24"/>
        </w:rPr>
        <w:tab/>
      </w:r>
      <w:r w:rsidRPr="00661EAA">
        <w:rPr>
          <w:sz w:val="24"/>
          <w:szCs w:val="24"/>
        </w:rPr>
        <w:t xml:space="preserve">Each course in </w:t>
      </w:r>
      <w:proofErr w:type="spellStart"/>
      <w:r w:rsidRPr="00661EAA">
        <w:rPr>
          <w:sz w:val="24"/>
          <w:szCs w:val="24"/>
        </w:rPr>
        <w:t>GCILMS</w:t>
      </w:r>
      <w:proofErr w:type="spellEnd"/>
      <w:r w:rsidRPr="00661EAA">
        <w:rPr>
          <w:sz w:val="24"/>
          <w:szCs w:val="24"/>
        </w:rPr>
        <w:t xml:space="preserve"> will:</w:t>
      </w:r>
    </w:p>
    <w:p w14:paraId="3AF7956F" w14:textId="77777777" w:rsidR="00661EAA" w:rsidRPr="00661EAA" w:rsidRDefault="00661EAA" w:rsidP="008160FD">
      <w:pPr>
        <w:rPr>
          <w:sz w:val="24"/>
          <w:szCs w:val="24"/>
        </w:rPr>
      </w:pPr>
    </w:p>
    <w:p w14:paraId="472C9359" w14:textId="28EA22BF" w:rsidR="00661EAA" w:rsidRPr="00661EAA" w:rsidRDefault="00661EAA" w:rsidP="00661EAA">
      <w:pPr>
        <w:ind w:left="1440"/>
        <w:rPr>
          <w:sz w:val="24"/>
          <w:szCs w:val="24"/>
        </w:rPr>
      </w:pPr>
      <w:r w:rsidRPr="00661EAA">
        <w:rPr>
          <w:sz w:val="24"/>
          <w:szCs w:val="24"/>
        </w:rPr>
        <w:t>1)</w:t>
      </w:r>
      <w:r>
        <w:rPr>
          <w:sz w:val="24"/>
          <w:szCs w:val="24"/>
        </w:rPr>
        <w:tab/>
      </w:r>
      <w:r w:rsidRPr="00661EAA">
        <w:rPr>
          <w:sz w:val="24"/>
          <w:szCs w:val="24"/>
        </w:rPr>
        <w:t>require an examination at its end;</w:t>
      </w:r>
    </w:p>
    <w:p w14:paraId="141D96E0" w14:textId="77777777" w:rsidR="00661EAA" w:rsidRPr="00661EAA" w:rsidRDefault="00661EAA" w:rsidP="008160FD">
      <w:pPr>
        <w:rPr>
          <w:sz w:val="24"/>
          <w:szCs w:val="24"/>
        </w:rPr>
      </w:pPr>
    </w:p>
    <w:p w14:paraId="4E31C52C" w14:textId="76147764" w:rsidR="00661EAA" w:rsidRPr="00661EAA" w:rsidRDefault="00661EAA" w:rsidP="00661EAA">
      <w:pPr>
        <w:ind w:left="2160" w:hanging="720"/>
        <w:rPr>
          <w:sz w:val="24"/>
          <w:szCs w:val="24"/>
        </w:rPr>
      </w:pPr>
      <w:r w:rsidRPr="00661EAA">
        <w:rPr>
          <w:sz w:val="24"/>
          <w:szCs w:val="24"/>
        </w:rPr>
        <w:t>2)</w:t>
      </w:r>
      <w:r>
        <w:rPr>
          <w:sz w:val="24"/>
          <w:szCs w:val="24"/>
        </w:rPr>
        <w:tab/>
      </w:r>
      <w:r w:rsidRPr="00661EAA">
        <w:rPr>
          <w:sz w:val="24"/>
          <w:szCs w:val="24"/>
        </w:rPr>
        <w:t>allow the student to go back and review any unit at any time before, but not during, the examination; and</w:t>
      </w:r>
    </w:p>
    <w:p w14:paraId="666612DB" w14:textId="77777777" w:rsidR="00661EAA" w:rsidRPr="00661EAA" w:rsidRDefault="00661EAA" w:rsidP="008160FD">
      <w:pPr>
        <w:rPr>
          <w:sz w:val="24"/>
          <w:szCs w:val="24"/>
        </w:rPr>
      </w:pPr>
    </w:p>
    <w:p w14:paraId="74EE4EA5" w14:textId="36191428" w:rsidR="00661EAA" w:rsidRPr="00661EAA" w:rsidRDefault="00661EAA" w:rsidP="00661EAA">
      <w:pPr>
        <w:ind w:left="2160" w:hanging="720"/>
        <w:rPr>
          <w:sz w:val="24"/>
          <w:szCs w:val="24"/>
        </w:rPr>
      </w:pPr>
      <w:r w:rsidRPr="00661EAA">
        <w:rPr>
          <w:sz w:val="24"/>
          <w:szCs w:val="24"/>
        </w:rPr>
        <w:t>3)</w:t>
      </w:r>
      <w:r>
        <w:rPr>
          <w:sz w:val="24"/>
          <w:szCs w:val="24"/>
        </w:rPr>
        <w:tab/>
      </w:r>
      <w:r w:rsidRPr="00661EAA">
        <w:rPr>
          <w:sz w:val="24"/>
          <w:szCs w:val="24"/>
        </w:rPr>
        <w:t>require each student to affirm that the student, and only that same student, completed the course.</w:t>
      </w:r>
    </w:p>
    <w:p w14:paraId="754C1024" w14:textId="77777777" w:rsidR="00661EAA" w:rsidRPr="00661EAA" w:rsidRDefault="00661EAA" w:rsidP="008160FD">
      <w:pPr>
        <w:rPr>
          <w:sz w:val="24"/>
          <w:szCs w:val="24"/>
        </w:rPr>
      </w:pPr>
    </w:p>
    <w:p w14:paraId="7E9F30FF" w14:textId="26AED7BA" w:rsidR="00661EAA" w:rsidRDefault="00661EAA" w:rsidP="00661EAA">
      <w:pPr>
        <w:overflowPunct/>
        <w:autoSpaceDE/>
        <w:autoSpaceDN/>
        <w:adjustRightInd/>
        <w:ind w:left="1440" w:hanging="720"/>
        <w:textAlignment w:val="auto"/>
        <w:rPr>
          <w:sz w:val="24"/>
          <w:szCs w:val="24"/>
        </w:rPr>
      </w:pPr>
      <w:r w:rsidRPr="00661EAA">
        <w:rPr>
          <w:sz w:val="24"/>
          <w:szCs w:val="24"/>
        </w:rPr>
        <w:t>c)</w:t>
      </w:r>
      <w:r>
        <w:rPr>
          <w:sz w:val="24"/>
          <w:szCs w:val="24"/>
        </w:rPr>
        <w:tab/>
      </w:r>
      <w:r w:rsidRPr="00661EAA">
        <w:rPr>
          <w:sz w:val="24"/>
          <w:szCs w:val="24"/>
        </w:rPr>
        <w:t xml:space="preserve">No credit will be given for a course if the student does not demonstrate successful completion of the examination. </w:t>
      </w:r>
    </w:p>
    <w:p w14:paraId="5A0FC2A4" w14:textId="77777777" w:rsidR="00661EAA" w:rsidRDefault="00661EAA" w:rsidP="008160FD">
      <w:pPr>
        <w:overflowPunct/>
        <w:autoSpaceDE/>
        <w:autoSpaceDN/>
        <w:adjustRightInd/>
        <w:textAlignment w:val="auto"/>
        <w:rPr>
          <w:sz w:val="24"/>
          <w:szCs w:val="24"/>
        </w:rPr>
      </w:pPr>
    </w:p>
    <w:p w14:paraId="4E1E6EDD" w14:textId="62D73C0F" w:rsidR="00355BE9" w:rsidRPr="00DF162B" w:rsidRDefault="00355BE9" w:rsidP="00661EAA">
      <w:pPr>
        <w:overflowPunct/>
        <w:autoSpaceDE/>
        <w:autoSpaceDN/>
        <w:adjustRightInd/>
        <w:ind w:left="720"/>
        <w:textAlignment w:val="auto"/>
        <w:rPr>
          <w:sz w:val="24"/>
          <w:szCs w:val="24"/>
        </w:rPr>
      </w:pPr>
      <w:r w:rsidRPr="00355BE9">
        <w:rPr>
          <w:sz w:val="24"/>
          <w:szCs w:val="24"/>
        </w:rPr>
        <w:t>(</w:t>
      </w:r>
      <w:r w:rsidR="00661EAA" w:rsidRPr="00661EAA">
        <w:rPr>
          <w:color w:val="000000"/>
          <w:sz w:val="24"/>
          <w:szCs w:val="24"/>
        </w:rPr>
        <w:t xml:space="preserve">Source: </w:t>
      </w:r>
      <w:r w:rsidR="00184562">
        <w:rPr>
          <w:color w:val="000000"/>
          <w:sz w:val="24"/>
          <w:szCs w:val="24"/>
        </w:rPr>
        <w:t xml:space="preserve"> S</w:t>
      </w:r>
      <w:r w:rsidR="00661EAA" w:rsidRPr="00661EAA">
        <w:rPr>
          <w:color w:val="000000"/>
          <w:sz w:val="24"/>
          <w:szCs w:val="24"/>
        </w:rPr>
        <w:t xml:space="preserve">ection repealed at 43 Ill. Reg. 422, effective December 21, 2018; new </w:t>
      </w:r>
      <w:r w:rsidR="00E361DF">
        <w:rPr>
          <w:color w:val="000000"/>
          <w:sz w:val="24"/>
          <w:szCs w:val="24"/>
        </w:rPr>
        <w:t>S</w:t>
      </w:r>
      <w:r w:rsidR="00661EAA" w:rsidRPr="00661EAA">
        <w:rPr>
          <w:color w:val="000000"/>
          <w:sz w:val="24"/>
          <w:szCs w:val="24"/>
        </w:rPr>
        <w:t xml:space="preserve">ection added at 49 Ill. </w:t>
      </w:r>
      <w:r w:rsidR="001F2BB6" w:rsidRPr="00184562">
        <w:rPr>
          <w:sz w:val="24"/>
          <w:szCs w:val="24"/>
        </w:rPr>
        <w:t xml:space="preserve">Reg. </w:t>
      </w:r>
      <w:r w:rsidR="00E2501E">
        <w:rPr>
          <w:sz w:val="24"/>
          <w:szCs w:val="24"/>
        </w:rPr>
        <w:t>12657</w:t>
      </w:r>
      <w:r w:rsidR="001F2BB6" w:rsidRPr="00184562">
        <w:rPr>
          <w:sz w:val="24"/>
          <w:szCs w:val="24"/>
        </w:rPr>
        <w:t xml:space="preserve">, effective </w:t>
      </w:r>
      <w:r w:rsidR="00E2501E">
        <w:rPr>
          <w:sz w:val="24"/>
          <w:szCs w:val="24"/>
        </w:rPr>
        <w:t>September 26, 2025</w:t>
      </w:r>
      <w:r w:rsidR="001F2BB6" w:rsidRPr="00184562">
        <w:rPr>
          <w:sz w:val="24"/>
          <w:szCs w:val="24"/>
        </w:rPr>
        <w:t>)</w:t>
      </w:r>
    </w:p>
    <w:sectPr w:rsidR="00355BE9" w:rsidRPr="00DF162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A31B9" w14:textId="77777777" w:rsidR="004F7C38" w:rsidRDefault="004F7C38">
      <w:r>
        <w:separator/>
      </w:r>
    </w:p>
  </w:endnote>
  <w:endnote w:type="continuationSeparator" w:id="0">
    <w:p w14:paraId="323C06B7" w14:textId="77777777" w:rsidR="004F7C38" w:rsidRDefault="004F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00608" w14:textId="77777777" w:rsidR="004F7C38" w:rsidRDefault="004F7C38">
      <w:r>
        <w:separator/>
      </w:r>
    </w:p>
  </w:footnote>
  <w:footnote w:type="continuationSeparator" w:id="0">
    <w:p w14:paraId="3D42171F" w14:textId="77777777" w:rsidR="004F7C38" w:rsidRDefault="004F7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C3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878DF"/>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56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2BB6"/>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4E5"/>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51E"/>
    <w:rsid w:val="00327B81"/>
    <w:rsid w:val="003303A2"/>
    <w:rsid w:val="00332EB2"/>
    <w:rsid w:val="00335723"/>
    <w:rsid w:val="00337BB9"/>
    <w:rsid w:val="00337CEB"/>
    <w:rsid w:val="00340DF6"/>
    <w:rsid w:val="003464C2"/>
    <w:rsid w:val="00350372"/>
    <w:rsid w:val="003547CB"/>
    <w:rsid w:val="00355BE9"/>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C38"/>
    <w:rsid w:val="005001C5"/>
    <w:rsid w:val="005039E7"/>
    <w:rsid w:val="0050660E"/>
    <w:rsid w:val="00507234"/>
    <w:rsid w:val="005109B5"/>
    <w:rsid w:val="00512795"/>
    <w:rsid w:val="005161BF"/>
    <w:rsid w:val="0052308E"/>
    <w:rsid w:val="005232CE"/>
    <w:rsid w:val="005237D3"/>
    <w:rsid w:val="00524E74"/>
    <w:rsid w:val="00526060"/>
    <w:rsid w:val="00530BE1"/>
    <w:rsid w:val="00531849"/>
    <w:rsid w:val="005341A0"/>
    <w:rsid w:val="00542E97"/>
    <w:rsid w:val="00544B77"/>
    <w:rsid w:val="00550737"/>
    <w:rsid w:val="00552D2A"/>
    <w:rsid w:val="00553C83"/>
    <w:rsid w:val="0056157E"/>
    <w:rsid w:val="0056373E"/>
    <w:rsid w:val="00564864"/>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3E9"/>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1EAA"/>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EE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60FD"/>
    <w:rsid w:val="00821428"/>
    <w:rsid w:val="0082307C"/>
    <w:rsid w:val="00824C15"/>
    <w:rsid w:val="00825696"/>
    <w:rsid w:val="00825AEB"/>
    <w:rsid w:val="00826E97"/>
    <w:rsid w:val="008271B1"/>
    <w:rsid w:val="00833A9E"/>
    <w:rsid w:val="008367DA"/>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5F72"/>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FFE"/>
    <w:rsid w:val="00A3646E"/>
    <w:rsid w:val="00A42797"/>
    <w:rsid w:val="00A42F61"/>
    <w:rsid w:val="00A52BDD"/>
    <w:rsid w:val="00A56934"/>
    <w:rsid w:val="00A600AA"/>
    <w:rsid w:val="00A623FE"/>
    <w:rsid w:val="00A72534"/>
    <w:rsid w:val="00A75A0E"/>
    <w:rsid w:val="00A809C5"/>
    <w:rsid w:val="00A80D1D"/>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1C2"/>
    <w:rsid w:val="00C2596B"/>
    <w:rsid w:val="00C319B3"/>
    <w:rsid w:val="00C42A93"/>
    <w:rsid w:val="00C4537A"/>
    <w:rsid w:val="00C45BEB"/>
    <w:rsid w:val="00C470EE"/>
    <w:rsid w:val="00C479CD"/>
    <w:rsid w:val="00C50195"/>
    <w:rsid w:val="00C60D0B"/>
    <w:rsid w:val="00C65BE6"/>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437E"/>
    <w:rsid w:val="00DE5010"/>
    <w:rsid w:val="00DF0813"/>
    <w:rsid w:val="00DF25BD"/>
    <w:rsid w:val="00E0634B"/>
    <w:rsid w:val="00E11728"/>
    <w:rsid w:val="00E16B25"/>
    <w:rsid w:val="00E21CD6"/>
    <w:rsid w:val="00E24167"/>
    <w:rsid w:val="00E24878"/>
    <w:rsid w:val="00E2501E"/>
    <w:rsid w:val="00E30395"/>
    <w:rsid w:val="00E34B29"/>
    <w:rsid w:val="00E361DF"/>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0CEB2"/>
  <w15:chartTrackingRefBased/>
  <w15:docId w15:val="{F87BA437-BA56-44D5-AE9F-1C65D142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67DA"/>
    <w:pPr>
      <w:overflowPunct w:val="0"/>
      <w:autoSpaceDE w:val="0"/>
      <w:autoSpaceDN w:val="0"/>
      <w:adjustRightInd w:val="0"/>
      <w:textAlignment w:val="baseline"/>
    </w:p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 w:val="24"/>
      <w:szCs w:val="24"/>
    </w:rPr>
  </w:style>
  <w:style w:type="paragraph" w:styleId="Header">
    <w:name w:val="header"/>
    <w:basedOn w:val="Normal"/>
    <w:rsid w:val="00A600AA"/>
    <w:pPr>
      <w:tabs>
        <w:tab w:val="center" w:pos="4320"/>
        <w:tab w:val="right" w:pos="8640"/>
      </w:tabs>
      <w:overflowPunct/>
      <w:autoSpaceDE/>
      <w:autoSpaceDN/>
      <w:adjustRightInd/>
      <w:textAlignment w:val="auto"/>
    </w:pPr>
    <w:rPr>
      <w:sz w:val="24"/>
      <w:szCs w:val="24"/>
    </w:rPr>
  </w:style>
  <w:style w:type="paragraph" w:styleId="Footer">
    <w:name w:val="footer"/>
    <w:basedOn w:val="Normal"/>
    <w:rsid w:val="00A600AA"/>
    <w:pPr>
      <w:tabs>
        <w:tab w:val="center" w:pos="4320"/>
        <w:tab w:val="right" w:pos="8640"/>
      </w:tabs>
      <w:overflowPunct/>
      <w:autoSpaceDE/>
      <w:autoSpaceDN/>
      <w:adjustRightInd/>
      <w:textAlignment w:val="auto"/>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sz w:val="24"/>
      <w:u w:val="single"/>
    </w:rPr>
  </w:style>
  <w:style w:type="paragraph" w:customStyle="1" w:styleId="JCARMainSourceNote">
    <w:name w:val="JCAR Main Source Note"/>
    <w:basedOn w:val="Normal"/>
    <w:rsid w:val="00A600AA"/>
    <w:pPr>
      <w:overflowPunct/>
      <w:autoSpaceDE/>
      <w:autoSpaceDN/>
      <w:adjustRightInd/>
      <w:textAlignment w:val="auto"/>
    </w:pPr>
    <w:rPr>
      <w:sz w:val="24"/>
      <w:szCs w:val="24"/>
    </w:rPr>
  </w:style>
  <w:style w:type="paragraph" w:styleId="BodyText">
    <w:name w:val="Body Text"/>
    <w:basedOn w:val="Normal"/>
    <w:rsid w:val="001C71C2"/>
    <w:pPr>
      <w:overflowPunct/>
      <w:autoSpaceDE/>
      <w:autoSpaceDN/>
      <w:adjustRightInd/>
      <w:spacing w:after="120"/>
      <w:textAlignment w:val="auto"/>
    </w:pPr>
    <w:rPr>
      <w:sz w:val="24"/>
      <w:szCs w:val="24"/>
    </w:rPr>
  </w:style>
  <w:style w:type="character" w:styleId="HTMLCode">
    <w:name w:val="HTML Code"/>
    <w:basedOn w:val="DefaultParagraphFont"/>
    <w:uiPriority w:val="99"/>
    <w:unhideWhenUsed/>
    <w:rsid w:val="00524E74"/>
    <w:rPr>
      <w:rFonts w:ascii="Courier New" w:eastAsia="Times New Roman" w:hAnsi="Courier New" w:cs="Courier New" w:hint="default"/>
      <w:sz w:val="20"/>
      <w:szCs w:val="20"/>
    </w:rPr>
  </w:style>
  <w:style w:type="paragraph" w:styleId="ListParagraph">
    <w:name w:val="List Paragraph"/>
    <w:basedOn w:val="Normal"/>
    <w:uiPriority w:val="34"/>
    <w:qFormat/>
    <w:rsid w:val="00661EAA"/>
    <w:pPr>
      <w:ind w:left="72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2025-09-22T20:28:00Z</dcterms:created>
  <dcterms:modified xsi:type="dcterms:W3CDTF">2025-10-14T14:27:00Z</dcterms:modified>
</cp:coreProperties>
</file>