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B1E" w:rsidRDefault="004D5B1E" w:rsidP="004D5B1E">
      <w:pPr>
        <w:widowControl w:val="0"/>
        <w:autoSpaceDE w:val="0"/>
        <w:autoSpaceDN w:val="0"/>
        <w:adjustRightInd w:val="0"/>
      </w:pPr>
      <w:bookmarkStart w:id="0" w:name="_GoBack"/>
      <w:bookmarkEnd w:id="0"/>
    </w:p>
    <w:p w:rsidR="004D5B1E" w:rsidRDefault="004D5B1E" w:rsidP="004D5B1E">
      <w:pPr>
        <w:widowControl w:val="0"/>
        <w:autoSpaceDE w:val="0"/>
        <w:autoSpaceDN w:val="0"/>
        <w:adjustRightInd w:val="0"/>
      </w:pPr>
      <w:r>
        <w:rPr>
          <w:b/>
          <w:bCs/>
        </w:rPr>
        <w:t>Section 4201.20  Annual Fee</w:t>
      </w:r>
      <w:r>
        <w:t xml:space="preserve"> </w:t>
      </w:r>
    </w:p>
    <w:p w:rsidR="004D5B1E" w:rsidRDefault="004D5B1E" w:rsidP="004D5B1E">
      <w:pPr>
        <w:widowControl w:val="0"/>
        <w:autoSpaceDE w:val="0"/>
        <w:autoSpaceDN w:val="0"/>
        <w:adjustRightInd w:val="0"/>
      </w:pPr>
    </w:p>
    <w:p w:rsidR="004D5B1E" w:rsidRDefault="004D5B1E" w:rsidP="004D5B1E">
      <w:pPr>
        <w:widowControl w:val="0"/>
        <w:autoSpaceDE w:val="0"/>
        <w:autoSpaceDN w:val="0"/>
        <w:adjustRightInd w:val="0"/>
        <w:ind w:left="1440" w:hanging="720"/>
      </w:pPr>
      <w:r>
        <w:t>a)</w:t>
      </w:r>
      <w:r>
        <w:tab/>
        <w:t xml:space="preserve">Each insurance company licensed to write property and casualty insurance business in this State shall, on or before June 1 of each year, pay to the Director of Insurance an annual fee in accordance with the following schedule of Illinois premium: </w:t>
      </w:r>
    </w:p>
    <w:p w:rsidR="00981207" w:rsidRDefault="00981207" w:rsidP="004D5B1E">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6612"/>
        <w:gridCol w:w="1431"/>
      </w:tblGrid>
      <w:tr w:rsidR="00981207">
        <w:tblPrEx>
          <w:tblCellMar>
            <w:top w:w="0" w:type="dxa"/>
            <w:bottom w:w="0" w:type="dxa"/>
          </w:tblCellMar>
        </w:tblPrEx>
        <w:trPr>
          <w:trHeight w:val="513"/>
        </w:trPr>
        <w:tc>
          <w:tcPr>
            <w:tcW w:w="6612" w:type="dxa"/>
          </w:tcPr>
          <w:p w:rsidR="00981207" w:rsidRDefault="00981207" w:rsidP="00981207">
            <w:pPr>
              <w:widowControl w:val="0"/>
              <w:autoSpaceDE w:val="0"/>
              <w:autoSpaceDN w:val="0"/>
              <w:adjustRightInd w:val="0"/>
              <w:ind w:left="348" w:hanging="348"/>
            </w:pPr>
            <w:r>
              <w:t>PREMIUM VOLUME</w:t>
            </w:r>
          </w:p>
        </w:tc>
        <w:tc>
          <w:tcPr>
            <w:tcW w:w="1431" w:type="dxa"/>
          </w:tcPr>
          <w:p w:rsidR="00981207" w:rsidRDefault="00981207" w:rsidP="00981207">
            <w:pPr>
              <w:widowControl w:val="0"/>
              <w:autoSpaceDE w:val="0"/>
              <w:autoSpaceDN w:val="0"/>
              <w:adjustRightInd w:val="0"/>
              <w:jc w:val="center"/>
            </w:pPr>
            <w:r>
              <w:t>FEE</w:t>
            </w:r>
          </w:p>
        </w:tc>
      </w:tr>
      <w:tr w:rsidR="00981207">
        <w:tblPrEx>
          <w:tblCellMar>
            <w:top w:w="0" w:type="dxa"/>
            <w:bottom w:w="0" w:type="dxa"/>
          </w:tblCellMar>
        </w:tblPrEx>
        <w:trPr>
          <w:trHeight w:val="513"/>
        </w:trPr>
        <w:tc>
          <w:tcPr>
            <w:tcW w:w="6612" w:type="dxa"/>
          </w:tcPr>
          <w:p w:rsidR="00981207" w:rsidRDefault="00981207" w:rsidP="00981207">
            <w:pPr>
              <w:widowControl w:val="0"/>
              <w:autoSpaceDE w:val="0"/>
              <w:autoSpaceDN w:val="0"/>
              <w:adjustRightInd w:val="0"/>
            </w:pPr>
            <w:r>
              <w:t>Premium equal to $0 of less than $1 million</w:t>
            </w:r>
          </w:p>
        </w:tc>
        <w:tc>
          <w:tcPr>
            <w:tcW w:w="1431" w:type="dxa"/>
          </w:tcPr>
          <w:p w:rsidR="00981207" w:rsidRDefault="00981207" w:rsidP="00981207">
            <w:pPr>
              <w:widowControl w:val="0"/>
              <w:autoSpaceDE w:val="0"/>
              <w:autoSpaceDN w:val="0"/>
              <w:adjustRightInd w:val="0"/>
              <w:ind w:right="261"/>
              <w:jc w:val="right"/>
            </w:pPr>
            <w:r>
              <w:t>$     288</w:t>
            </w:r>
          </w:p>
        </w:tc>
      </w:tr>
      <w:tr w:rsidR="00981207">
        <w:tblPrEx>
          <w:tblCellMar>
            <w:top w:w="0" w:type="dxa"/>
            <w:bottom w:w="0" w:type="dxa"/>
          </w:tblCellMar>
        </w:tblPrEx>
        <w:trPr>
          <w:trHeight w:val="792"/>
        </w:trPr>
        <w:tc>
          <w:tcPr>
            <w:tcW w:w="6612" w:type="dxa"/>
          </w:tcPr>
          <w:p w:rsidR="00981207" w:rsidRDefault="00981207" w:rsidP="00981207">
            <w:pPr>
              <w:widowControl w:val="0"/>
              <w:autoSpaceDE w:val="0"/>
              <w:autoSpaceDN w:val="0"/>
              <w:adjustRightInd w:val="0"/>
            </w:pPr>
            <w:r>
              <w:t>Premium equal to or greater than $1 million but less than $5 million</w:t>
            </w:r>
          </w:p>
        </w:tc>
        <w:tc>
          <w:tcPr>
            <w:tcW w:w="1431" w:type="dxa"/>
          </w:tcPr>
          <w:p w:rsidR="00981207" w:rsidRDefault="00981207" w:rsidP="00981207">
            <w:pPr>
              <w:widowControl w:val="0"/>
              <w:autoSpaceDE w:val="0"/>
              <w:autoSpaceDN w:val="0"/>
              <w:adjustRightInd w:val="0"/>
              <w:ind w:right="261"/>
              <w:jc w:val="right"/>
            </w:pPr>
            <w:r>
              <w:t>$   1150</w:t>
            </w:r>
          </w:p>
        </w:tc>
      </w:tr>
      <w:tr w:rsidR="00981207">
        <w:tblPrEx>
          <w:tblCellMar>
            <w:top w:w="0" w:type="dxa"/>
            <w:bottom w:w="0" w:type="dxa"/>
          </w:tblCellMar>
        </w:tblPrEx>
        <w:trPr>
          <w:trHeight w:val="801"/>
        </w:trPr>
        <w:tc>
          <w:tcPr>
            <w:tcW w:w="6612" w:type="dxa"/>
          </w:tcPr>
          <w:p w:rsidR="00981207" w:rsidRDefault="00981207" w:rsidP="00981207">
            <w:pPr>
              <w:widowControl w:val="0"/>
              <w:autoSpaceDE w:val="0"/>
              <w:autoSpaceDN w:val="0"/>
              <w:adjustRightInd w:val="0"/>
            </w:pPr>
            <w:r>
              <w:t>Premium equal to or greater than $5 million but less than $25 million</w:t>
            </w:r>
          </w:p>
        </w:tc>
        <w:tc>
          <w:tcPr>
            <w:tcW w:w="1431" w:type="dxa"/>
          </w:tcPr>
          <w:p w:rsidR="00981207" w:rsidRDefault="00981207" w:rsidP="00981207">
            <w:pPr>
              <w:widowControl w:val="0"/>
              <w:autoSpaceDE w:val="0"/>
              <w:autoSpaceDN w:val="0"/>
              <w:adjustRightInd w:val="0"/>
              <w:ind w:right="261"/>
              <w:jc w:val="right"/>
            </w:pPr>
            <w:r>
              <w:t>$   5750</w:t>
            </w:r>
          </w:p>
        </w:tc>
      </w:tr>
      <w:tr w:rsidR="00981207">
        <w:tblPrEx>
          <w:tblCellMar>
            <w:top w:w="0" w:type="dxa"/>
            <w:bottom w:w="0" w:type="dxa"/>
          </w:tblCellMar>
        </w:tblPrEx>
        <w:trPr>
          <w:trHeight w:val="720"/>
        </w:trPr>
        <w:tc>
          <w:tcPr>
            <w:tcW w:w="6612" w:type="dxa"/>
          </w:tcPr>
          <w:p w:rsidR="00981207" w:rsidRDefault="00981207" w:rsidP="00981207">
            <w:pPr>
              <w:widowControl w:val="0"/>
              <w:autoSpaceDE w:val="0"/>
              <w:autoSpaceDN w:val="0"/>
              <w:adjustRightInd w:val="0"/>
            </w:pPr>
            <w:r>
              <w:t>Premium equal to or greater than $25 million but less than $50 million</w:t>
            </w:r>
          </w:p>
        </w:tc>
        <w:tc>
          <w:tcPr>
            <w:tcW w:w="1431" w:type="dxa"/>
          </w:tcPr>
          <w:p w:rsidR="00981207" w:rsidRDefault="00981207" w:rsidP="00981207">
            <w:pPr>
              <w:widowControl w:val="0"/>
              <w:autoSpaceDE w:val="0"/>
              <w:autoSpaceDN w:val="0"/>
              <w:adjustRightInd w:val="0"/>
              <w:ind w:right="261"/>
              <w:jc w:val="right"/>
            </w:pPr>
            <w:r>
              <w:t>$   8625</w:t>
            </w:r>
          </w:p>
        </w:tc>
      </w:tr>
      <w:tr w:rsidR="00981207">
        <w:tblPrEx>
          <w:tblCellMar>
            <w:top w:w="0" w:type="dxa"/>
            <w:bottom w:w="0" w:type="dxa"/>
          </w:tblCellMar>
        </w:tblPrEx>
        <w:tc>
          <w:tcPr>
            <w:tcW w:w="6612" w:type="dxa"/>
          </w:tcPr>
          <w:p w:rsidR="00981207" w:rsidRDefault="00981207" w:rsidP="00981207">
            <w:pPr>
              <w:widowControl w:val="0"/>
              <w:autoSpaceDE w:val="0"/>
              <w:autoSpaceDN w:val="0"/>
              <w:adjustRightInd w:val="0"/>
            </w:pPr>
            <w:r>
              <w:t>Premium equal to or greater than $50 million</w:t>
            </w:r>
          </w:p>
        </w:tc>
        <w:tc>
          <w:tcPr>
            <w:tcW w:w="1431" w:type="dxa"/>
          </w:tcPr>
          <w:p w:rsidR="00981207" w:rsidRDefault="00981207" w:rsidP="00981207">
            <w:pPr>
              <w:widowControl w:val="0"/>
              <w:autoSpaceDE w:val="0"/>
              <w:autoSpaceDN w:val="0"/>
              <w:adjustRightInd w:val="0"/>
              <w:ind w:right="261"/>
              <w:jc w:val="right"/>
            </w:pPr>
            <w:r>
              <w:t>$11,500</w:t>
            </w:r>
          </w:p>
        </w:tc>
      </w:tr>
    </w:tbl>
    <w:p w:rsidR="004D5B1E" w:rsidRDefault="004D5B1E" w:rsidP="004D5B1E">
      <w:pPr>
        <w:widowControl w:val="0"/>
        <w:autoSpaceDE w:val="0"/>
        <w:autoSpaceDN w:val="0"/>
        <w:adjustRightInd w:val="0"/>
      </w:pPr>
    </w:p>
    <w:p w:rsidR="004D5B1E" w:rsidRDefault="004D5B1E" w:rsidP="004D5B1E">
      <w:pPr>
        <w:widowControl w:val="0"/>
        <w:autoSpaceDE w:val="0"/>
        <w:autoSpaceDN w:val="0"/>
        <w:adjustRightInd w:val="0"/>
        <w:ind w:left="1440" w:hanging="720"/>
      </w:pPr>
      <w:r>
        <w:t>b)</w:t>
      </w:r>
      <w:r>
        <w:tab/>
        <w:t xml:space="preserve">The premium volume to be used in determining a company's annual fee shall be the sum of the company's previous year's direct written premium as set forth on lines 5.2, 11, 17, 18, 19.1, 19.2, 19.3, 19.4, 21.1 and 21.2 of the Exhibit of Premiums and Losses of the company's Illinois Annual Statement filed with the Department pursuant to Section 136 of the Illinois Insurance Code [215 ILCS 5/136]. </w:t>
      </w:r>
    </w:p>
    <w:p w:rsidR="004C06F3" w:rsidRDefault="004C06F3" w:rsidP="004D5B1E">
      <w:pPr>
        <w:widowControl w:val="0"/>
        <w:autoSpaceDE w:val="0"/>
        <w:autoSpaceDN w:val="0"/>
        <w:adjustRightInd w:val="0"/>
        <w:ind w:left="1440" w:hanging="720"/>
      </w:pPr>
    </w:p>
    <w:p w:rsidR="004D5B1E" w:rsidRDefault="004D5B1E" w:rsidP="004D5B1E">
      <w:pPr>
        <w:widowControl w:val="0"/>
        <w:autoSpaceDE w:val="0"/>
        <w:autoSpaceDN w:val="0"/>
        <w:adjustRightInd w:val="0"/>
        <w:ind w:left="1440" w:hanging="720"/>
      </w:pPr>
      <w:r>
        <w:t>c)</w:t>
      </w:r>
      <w:r>
        <w:tab/>
        <w:t xml:space="preserve">The Department shall notify by mail each company licensed to write property and casualty insurance business in this State of the amount of its annual fee calculated pursuant to subsection (b) of this Section. </w:t>
      </w:r>
    </w:p>
    <w:p w:rsidR="004C06F3" w:rsidRDefault="004C06F3" w:rsidP="004D5B1E">
      <w:pPr>
        <w:widowControl w:val="0"/>
        <w:autoSpaceDE w:val="0"/>
        <w:autoSpaceDN w:val="0"/>
        <w:adjustRightInd w:val="0"/>
        <w:ind w:left="1440" w:hanging="720"/>
      </w:pPr>
    </w:p>
    <w:p w:rsidR="004D5B1E" w:rsidRDefault="004D5B1E" w:rsidP="004D5B1E">
      <w:pPr>
        <w:widowControl w:val="0"/>
        <w:autoSpaceDE w:val="0"/>
        <w:autoSpaceDN w:val="0"/>
        <w:adjustRightInd w:val="0"/>
        <w:ind w:left="1440" w:hanging="720"/>
      </w:pPr>
      <w:r>
        <w:t>d)</w:t>
      </w:r>
      <w:r>
        <w:tab/>
        <w:t xml:space="preserve">All annual fees payable pursuant to this Part shall be due on or before June 1 for the preceding calendar year.  Such annual fee shall be made payable to the Director of Insurance/SSRF. </w:t>
      </w:r>
    </w:p>
    <w:p w:rsidR="004D5B1E" w:rsidRDefault="004D5B1E" w:rsidP="004D5B1E">
      <w:pPr>
        <w:widowControl w:val="0"/>
        <w:autoSpaceDE w:val="0"/>
        <w:autoSpaceDN w:val="0"/>
        <w:adjustRightInd w:val="0"/>
        <w:ind w:left="1440" w:hanging="720"/>
      </w:pPr>
    </w:p>
    <w:p w:rsidR="004D5B1E" w:rsidRDefault="004D5B1E" w:rsidP="004D5B1E">
      <w:pPr>
        <w:widowControl w:val="0"/>
        <w:autoSpaceDE w:val="0"/>
        <w:autoSpaceDN w:val="0"/>
        <w:adjustRightInd w:val="0"/>
        <w:ind w:left="1440" w:hanging="720"/>
      </w:pPr>
      <w:r>
        <w:t xml:space="preserve">(Source:  Amended at 22 Ill. Reg. 18974, effective October 1, 1998) </w:t>
      </w:r>
    </w:p>
    <w:sectPr w:rsidR="004D5B1E" w:rsidSect="004D5B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5B1E"/>
    <w:rsid w:val="004C06F3"/>
    <w:rsid w:val="004D5B1E"/>
    <w:rsid w:val="00520FC7"/>
    <w:rsid w:val="005C3366"/>
    <w:rsid w:val="00981207"/>
    <w:rsid w:val="00AF7517"/>
    <w:rsid w:val="00F5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4201</vt:lpstr>
    </vt:vector>
  </TitlesOfParts>
  <Company>State of Illinois</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4201</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