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842" w:rsidRDefault="005D5842" w:rsidP="005D58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5842" w:rsidRDefault="005D5842" w:rsidP="005D5842">
      <w:pPr>
        <w:widowControl w:val="0"/>
        <w:autoSpaceDE w:val="0"/>
        <w:autoSpaceDN w:val="0"/>
        <w:adjustRightInd w:val="0"/>
      </w:pPr>
      <w:r>
        <w:t xml:space="preserve">AUTHORITY:  Implementing and authorized by Sections 30(b) and 40 of the Small Employer Health Insurance Rating Act [215 ILCS 93/30(b) and 40]. </w:t>
      </w:r>
    </w:p>
    <w:sectPr w:rsidR="005D5842" w:rsidSect="005D58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5842"/>
    <w:rsid w:val="001B6DDA"/>
    <w:rsid w:val="005C3366"/>
    <w:rsid w:val="005D5842"/>
    <w:rsid w:val="0099733E"/>
    <w:rsid w:val="00FA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30(b) and 40 of the Small Employer Health Insurance Rating Act [215 ILCS 9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30(b) and 40 of the Small Employer Health Insurance Rating Act [215 ILCS 9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