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9508" w14:textId="77777777" w:rsidR="00152510" w:rsidRDefault="00152510" w:rsidP="00152510">
      <w:pPr>
        <w:widowControl w:val="0"/>
        <w:autoSpaceDE w:val="0"/>
        <w:autoSpaceDN w:val="0"/>
        <w:adjustRightInd w:val="0"/>
      </w:pPr>
    </w:p>
    <w:p w14:paraId="699B0881" w14:textId="77777777" w:rsidR="00152510" w:rsidRDefault="00152510" w:rsidP="00152510">
      <w:pPr>
        <w:widowControl w:val="0"/>
        <w:autoSpaceDE w:val="0"/>
        <w:autoSpaceDN w:val="0"/>
        <w:adjustRightInd w:val="0"/>
      </w:pPr>
      <w:r>
        <w:rPr>
          <w:b/>
          <w:bCs/>
        </w:rPr>
        <w:t>Section 3118.90  Charges for Services</w:t>
      </w:r>
      <w:r>
        <w:t xml:space="preserve"> </w:t>
      </w:r>
    </w:p>
    <w:p w14:paraId="7BA22A55" w14:textId="77777777" w:rsidR="00152510" w:rsidRDefault="00152510" w:rsidP="00152510"/>
    <w:p w14:paraId="173EE72F" w14:textId="1144369E" w:rsidR="00152510" w:rsidRDefault="00152510" w:rsidP="00152510">
      <w:pPr>
        <w:ind w:left="1440" w:hanging="720"/>
      </w:pPr>
      <w:r>
        <w:t>a)</w:t>
      </w:r>
      <w:r>
        <w:tab/>
        <w:t>A public adjuster client shall not be required by the licensed public adjuster, or its agent, to pay higher fees to the public adjuster if the client does not elect to work with the contractor or vendor preferred or primarily recommended by the public adjuster.</w:t>
      </w:r>
    </w:p>
    <w:p w14:paraId="1FE7AE55" w14:textId="069310D3" w:rsidR="00152510" w:rsidRDefault="00152510" w:rsidP="00BF3F86">
      <w:pPr>
        <w:ind w:left="720" w:hanging="720"/>
      </w:pPr>
    </w:p>
    <w:p w14:paraId="1617A323" w14:textId="25D6F519" w:rsidR="00152510" w:rsidRDefault="00152510" w:rsidP="00152510">
      <w:pPr>
        <w:ind w:left="1440" w:hanging="720"/>
      </w:pPr>
      <w:r>
        <w:rPr>
          <w:rFonts w:eastAsia="Calibri"/>
        </w:rPr>
        <w:t>b)</w:t>
      </w:r>
      <w:r>
        <w:rPr>
          <w:rFonts w:eastAsia="Calibri"/>
        </w:rPr>
        <w:tab/>
        <w:t>A public adjuster commission, charges or fee shall not include the deductible amount and shall only be based on net claim payment made by the insurer.</w:t>
      </w:r>
    </w:p>
    <w:p w14:paraId="6016EF21" w14:textId="6C86BDF2" w:rsidR="000174EB" w:rsidRDefault="000174EB" w:rsidP="00093935"/>
    <w:p w14:paraId="0831EED8" w14:textId="0DBC3241" w:rsidR="00152510" w:rsidRPr="00093935" w:rsidRDefault="00152510" w:rsidP="00152510">
      <w:pPr>
        <w:ind w:firstLine="720"/>
      </w:pPr>
      <w:r w:rsidRPr="00524821">
        <w:t>(Source:  Amended at 4</w:t>
      </w:r>
      <w:r>
        <w:t>8</w:t>
      </w:r>
      <w:r w:rsidRPr="00524821">
        <w:t xml:space="preserve"> Ill. Reg. </w:t>
      </w:r>
      <w:r w:rsidR="00D20F88">
        <w:t>7257</w:t>
      </w:r>
      <w:r w:rsidRPr="00524821">
        <w:t xml:space="preserve">, effective </w:t>
      </w:r>
      <w:r w:rsidR="00D20F88">
        <w:t>April 30, 2024</w:t>
      </w:r>
      <w:r w:rsidRPr="00524821">
        <w:t>)</w:t>
      </w:r>
    </w:p>
    <w:sectPr w:rsidR="0015251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7452" w14:textId="77777777" w:rsidR="009A23E9" w:rsidRDefault="009A23E9">
      <w:r>
        <w:separator/>
      </w:r>
    </w:p>
  </w:endnote>
  <w:endnote w:type="continuationSeparator" w:id="0">
    <w:p w14:paraId="31E421F3" w14:textId="77777777" w:rsidR="009A23E9" w:rsidRDefault="009A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BD9F" w14:textId="77777777" w:rsidR="009A23E9" w:rsidRDefault="009A23E9">
      <w:r>
        <w:separator/>
      </w:r>
    </w:p>
  </w:footnote>
  <w:footnote w:type="continuationSeparator" w:id="0">
    <w:p w14:paraId="44ABC677" w14:textId="77777777" w:rsidR="009A23E9" w:rsidRDefault="009A2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510"/>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913"/>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75B2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3E9"/>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3F86"/>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0F88"/>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625D9"/>
  <w15:chartTrackingRefBased/>
  <w15:docId w15:val="{42182FCE-EF6A-4A82-8908-847A4CC4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51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99011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439</Characters>
  <Application>Microsoft Office Word</Application>
  <DocSecurity>0</DocSecurity>
  <Lines>3</Lines>
  <Paragraphs>1</Paragraphs>
  <ScaleCrop>false</ScaleCrop>
  <Company>Illinois General Assembly</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2024-04-23T14:02:00Z</dcterms:created>
  <dcterms:modified xsi:type="dcterms:W3CDTF">2024-05-17T12:46:00Z</dcterms:modified>
</cp:coreProperties>
</file>