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6C" w:rsidRDefault="00624C6C" w:rsidP="00624C6C"/>
    <w:p w:rsidR="00C141E3" w:rsidRPr="00624C6C" w:rsidRDefault="00C141E3" w:rsidP="00624C6C">
      <w:pPr>
        <w:rPr>
          <w:b/>
        </w:rPr>
      </w:pPr>
      <w:r w:rsidRPr="00624C6C">
        <w:rPr>
          <w:b/>
        </w:rPr>
        <w:t>Section 2908.70  Employer, Insurance Carrier, Managed Care Organization or Agents</w:t>
      </w:r>
      <w:r w:rsidRPr="00624C6C">
        <w:rPr>
          <w:rStyle w:val="ptext-45"/>
          <w:b/>
        </w:rPr>
        <w:t>'</w:t>
      </w:r>
      <w:r w:rsidRPr="00624C6C">
        <w:rPr>
          <w:b/>
        </w:rPr>
        <w:t xml:space="preserve"> Receipt of Medical Bills from Health Care Providers</w:t>
      </w:r>
    </w:p>
    <w:p w:rsidR="00C141E3" w:rsidRPr="00C141E3" w:rsidRDefault="00C141E3" w:rsidP="00624C6C">
      <w:pPr>
        <w:rPr>
          <w:color w:val="000000"/>
        </w:rPr>
      </w:pPr>
    </w:p>
    <w:p w:rsidR="00C141E3" w:rsidRPr="00C141E3" w:rsidRDefault="00624C6C" w:rsidP="00624C6C">
      <w:pPr>
        <w:ind w:left="1440" w:hanging="720"/>
        <w:rPr>
          <w:color w:val="000000"/>
        </w:rPr>
      </w:pPr>
      <w:r>
        <w:rPr>
          <w:color w:val="000000"/>
        </w:rPr>
        <w:t>a)</w:t>
      </w:r>
      <w:r>
        <w:rPr>
          <w:color w:val="000000"/>
        </w:rPr>
        <w:tab/>
      </w:r>
      <w:r w:rsidR="00C141E3" w:rsidRPr="00C141E3">
        <w:rPr>
          <w:color w:val="000000"/>
        </w:rPr>
        <w:t>Upon receipt of medical bills submitted in accordance with Sections 2908.30, 2908.40 and 2908.50, a payer shall evaluate each bill</w:t>
      </w:r>
      <w:r w:rsidR="00C141E3" w:rsidRPr="00C141E3">
        <w:rPr>
          <w:rStyle w:val="ptext-45"/>
        </w:rPr>
        <w:t>'</w:t>
      </w:r>
      <w:r w:rsidR="00C141E3" w:rsidRPr="00C141E3">
        <w:rPr>
          <w:color w:val="000000"/>
        </w:rPr>
        <w:t xml:space="preserve">s conformance with the criteria for a complete medical bill set forth in Section 8.2(d) of the Act. </w:t>
      </w:r>
    </w:p>
    <w:p w:rsidR="00C141E3" w:rsidRPr="00C141E3" w:rsidRDefault="00C141E3" w:rsidP="00624C6C">
      <w:pPr>
        <w:rPr>
          <w:color w:val="000000"/>
        </w:rPr>
      </w:pPr>
    </w:p>
    <w:p w:rsidR="00C141E3" w:rsidRPr="00C141E3" w:rsidRDefault="00624C6C" w:rsidP="00624C6C">
      <w:pPr>
        <w:ind w:left="2160" w:hanging="720"/>
        <w:rPr>
          <w:color w:val="000000"/>
        </w:rPr>
      </w:pPr>
      <w:r>
        <w:rPr>
          <w:color w:val="000000"/>
        </w:rPr>
        <w:t>1)</w:t>
      </w:r>
      <w:r>
        <w:rPr>
          <w:color w:val="000000"/>
        </w:rPr>
        <w:tab/>
      </w:r>
      <w:r w:rsidR="00C141E3" w:rsidRPr="00C141E3">
        <w:rPr>
          <w:color w:val="000000"/>
        </w:rPr>
        <w:t xml:space="preserve">A payer shall not reject medical bills that are complete, unless the bill is a duplicate bill. </w:t>
      </w:r>
    </w:p>
    <w:p w:rsidR="00C141E3" w:rsidRPr="00C141E3" w:rsidRDefault="00C141E3" w:rsidP="00624C6C">
      <w:pPr>
        <w:rPr>
          <w:color w:val="000000"/>
        </w:rPr>
      </w:pPr>
    </w:p>
    <w:p w:rsidR="00C141E3" w:rsidRPr="00C141E3" w:rsidRDefault="00C141E3" w:rsidP="00624C6C">
      <w:pPr>
        <w:ind w:left="2160" w:hanging="720"/>
        <w:rPr>
          <w:color w:val="000000"/>
        </w:rPr>
      </w:pPr>
      <w:r w:rsidRPr="00C141E3">
        <w:rPr>
          <w:color w:val="000000"/>
        </w:rPr>
        <w:t>2)</w:t>
      </w:r>
      <w:r w:rsidRPr="00C141E3">
        <w:rPr>
          <w:color w:val="000000"/>
        </w:rPr>
        <w:tab/>
        <w:t>Within 21 calendar days after receipt of an incomplete medical bill, a payer or its agent shall either:</w:t>
      </w:r>
    </w:p>
    <w:p w:rsidR="00C141E3" w:rsidRPr="00C141E3" w:rsidRDefault="00C141E3" w:rsidP="00624C6C">
      <w:pPr>
        <w:rPr>
          <w:color w:val="000000"/>
        </w:rPr>
      </w:pPr>
    </w:p>
    <w:p w:rsidR="00C141E3" w:rsidRPr="00C141E3" w:rsidRDefault="00624C6C" w:rsidP="00624C6C">
      <w:pPr>
        <w:ind w:left="2880" w:hanging="720"/>
        <w:rPr>
          <w:color w:val="000000"/>
        </w:rPr>
      </w:pPr>
      <w:r>
        <w:rPr>
          <w:color w:val="000000"/>
        </w:rPr>
        <w:t>A)</w:t>
      </w:r>
      <w:r>
        <w:rPr>
          <w:color w:val="000000"/>
        </w:rPr>
        <w:tab/>
      </w:r>
      <w:r w:rsidR="00C141E3" w:rsidRPr="00C141E3">
        <w:rPr>
          <w:color w:val="000000"/>
        </w:rPr>
        <w:t xml:space="preserve">Complete the bill by adding missing health care provider identification or demographic information already known to the payer; or </w:t>
      </w:r>
    </w:p>
    <w:p w:rsidR="00C141E3" w:rsidRPr="00C141E3" w:rsidRDefault="00C141E3" w:rsidP="00624C6C">
      <w:pPr>
        <w:rPr>
          <w:color w:val="000000"/>
        </w:rPr>
      </w:pPr>
    </w:p>
    <w:p w:rsidR="00C141E3" w:rsidRPr="00C141E3" w:rsidRDefault="00C141E3" w:rsidP="00624C6C">
      <w:pPr>
        <w:ind w:left="1440" w:firstLine="720"/>
        <w:rPr>
          <w:color w:val="000000"/>
        </w:rPr>
      </w:pPr>
      <w:r w:rsidRPr="00C141E3">
        <w:rPr>
          <w:color w:val="000000"/>
        </w:rPr>
        <w:t>B)</w:t>
      </w:r>
      <w:r w:rsidRPr="00C141E3">
        <w:rPr>
          <w:color w:val="000000"/>
        </w:rPr>
        <w:tab/>
        <w:t xml:space="preserve">Reject the incomplete bill in accordance with this subsection (a). </w:t>
      </w:r>
    </w:p>
    <w:p w:rsidR="00C141E3" w:rsidRPr="00C141E3" w:rsidRDefault="00C141E3" w:rsidP="00624C6C">
      <w:pPr>
        <w:rPr>
          <w:color w:val="000000"/>
        </w:rPr>
      </w:pPr>
    </w:p>
    <w:p w:rsidR="00C141E3" w:rsidRPr="00C141E3" w:rsidRDefault="00624C6C" w:rsidP="00624C6C">
      <w:pPr>
        <w:ind w:left="1440" w:hanging="720"/>
        <w:rPr>
          <w:strike/>
          <w:color w:val="000000"/>
        </w:rPr>
      </w:pPr>
      <w:r>
        <w:rPr>
          <w:color w:val="000000"/>
        </w:rPr>
        <w:t>b)</w:t>
      </w:r>
      <w:r>
        <w:rPr>
          <w:color w:val="000000"/>
        </w:rPr>
        <w:tab/>
      </w:r>
      <w:r w:rsidR="00C141E3" w:rsidRPr="00C141E3">
        <w:rPr>
          <w:color w:val="000000"/>
        </w:rPr>
        <w:t xml:space="preserve">The received date of an electronic medical bill is the date all of the contents of a complete electronic </w:t>
      </w:r>
      <w:r w:rsidR="00D326C5">
        <w:rPr>
          <w:color w:val="000000"/>
        </w:rPr>
        <w:t xml:space="preserve">medical </w:t>
      </w:r>
      <w:r w:rsidR="00C141E3" w:rsidRPr="00C141E3">
        <w:rPr>
          <w:color w:val="000000"/>
        </w:rPr>
        <w:t xml:space="preserve">bill are successfully received by the claims payer. Transmission of an Implementation Acknowledgment (ASC X12 999) under </w:t>
      </w:r>
      <w:r w:rsidR="00DB4572">
        <w:rPr>
          <w:color w:val="000000"/>
        </w:rPr>
        <w:t>S</w:t>
      </w:r>
      <w:r w:rsidR="00C141E3" w:rsidRPr="00C141E3">
        <w:rPr>
          <w:color w:val="000000"/>
        </w:rPr>
        <w:t>ection 2908.40(a)(2), and acceptance of a complete, structurally correct file, serve as proof of the received date for an electronic medical bill in this subsection (b).</w:t>
      </w:r>
    </w:p>
    <w:p w:rsidR="00C141E3" w:rsidRPr="00C141E3" w:rsidRDefault="00C141E3" w:rsidP="00624C6C">
      <w:pPr>
        <w:rPr>
          <w:color w:val="000000"/>
        </w:rPr>
      </w:pPr>
    </w:p>
    <w:p w:rsidR="00C141E3" w:rsidRPr="00C141E3" w:rsidRDefault="00624C6C" w:rsidP="00624C6C">
      <w:pPr>
        <w:ind w:left="1440" w:hanging="720"/>
        <w:rPr>
          <w:color w:val="000000"/>
        </w:rPr>
      </w:pPr>
      <w:r>
        <w:rPr>
          <w:color w:val="000000"/>
        </w:rPr>
        <w:t>c)</w:t>
      </w:r>
      <w:r>
        <w:rPr>
          <w:color w:val="000000"/>
        </w:rPr>
        <w:tab/>
      </w:r>
      <w:r w:rsidR="00C141E3" w:rsidRPr="00C141E3">
        <w:rPr>
          <w:color w:val="000000"/>
        </w:rPr>
        <w:t xml:space="preserve">The payer may contact the medical provider to obtain the information necessary to make the bill complete. </w:t>
      </w:r>
    </w:p>
    <w:p w:rsidR="00C141E3" w:rsidRPr="00C141E3" w:rsidRDefault="00C141E3" w:rsidP="00624C6C">
      <w:pPr>
        <w:rPr>
          <w:color w:val="000000"/>
        </w:rPr>
      </w:pPr>
    </w:p>
    <w:p w:rsidR="00C141E3" w:rsidRPr="00C141E3" w:rsidRDefault="00624C6C" w:rsidP="00624C6C">
      <w:pPr>
        <w:ind w:left="2160" w:hanging="720"/>
        <w:rPr>
          <w:color w:val="000000"/>
        </w:rPr>
      </w:pPr>
      <w:r>
        <w:rPr>
          <w:color w:val="000000"/>
        </w:rPr>
        <w:t>1)</w:t>
      </w:r>
      <w:r>
        <w:rPr>
          <w:color w:val="000000"/>
        </w:rPr>
        <w:tab/>
      </w:r>
      <w:r w:rsidR="00C141E3" w:rsidRPr="00C141E3">
        <w:rPr>
          <w:color w:val="000000"/>
        </w:rPr>
        <w:t>Any request by the payer or its agent for additional documentation to pay a medical bill shall:</w:t>
      </w:r>
    </w:p>
    <w:p w:rsidR="00C141E3" w:rsidRPr="00C141E3" w:rsidRDefault="00C141E3" w:rsidP="00624C6C">
      <w:pPr>
        <w:rPr>
          <w:color w:val="000000"/>
        </w:rPr>
      </w:pPr>
    </w:p>
    <w:p w:rsidR="00C141E3" w:rsidRPr="00C141E3" w:rsidRDefault="00C141E3" w:rsidP="00624C6C">
      <w:pPr>
        <w:ind w:left="2880" w:hanging="720"/>
        <w:rPr>
          <w:color w:val="000000"/>
        </w:rPr>
      </w:pPr>
      <w:r w:rsidRPr="00C141E3">
        <w:rPr>
          <w:color w:val="000000"/>
        </w:rPr>
        <w:t>A)</w:t>
      </w:r>
      <w:r w:rsidRPr="00C141E3">
        <w:rPr>
          <w:color w:val="000000"/>
        </w:rPr>
        <w:tab/>
        <w:t xml:space="preserve">be made by telephone or electronic transmission unless the information cannot be sent by those media, in which case the sender shall send the information by first class mail or personal delivery; </w:t>
      </w:r>
    </w:p>
    <w:p w:rsidR="00C141E3" w:rsidRPr="00C141E3" w:rsidRDefault="00C141E3" w:rsidP="00624C6C">
      <w:pPr>
        <w:rPr>
          <w:color w:val="000000"/>
        </w:rPr>
      </w:pPr>
    </w:p>
    <w:p w:rsidR="00C141E3" w:rsidRPr="00C141E3" w:rsidRDefault="00624C6C" w:rsidP="00624C6C">
      <w:pPr>
        <w:ind w:left="1440" w:firstLine="720"/>
        <w:rPr>
          <w:color w:val="000000"/>
        </w:rPr>
      </w:pPr>
      <w:r>
        <w:rPr>
          <w:color w:val="000000"/>
        </w:rPr>
        <w:t>B)</w:t>
      </w:r>
      <w:r>
        <w:rPr>
          <w:color w:val="000000"/>
        </w:rPr>
        <w:tab/>
      </w:r>
      <w:r w:rsidR="00C141E3" w:rsidRPr="00C141E3">
        <w:rPr>
          <w:color w:val="000000"/>
        </w:rPr>
        <w:t xml:space="preserve">be specific to the bill or the bill's related episode of care; </w:t>
      </w:r>
    </w:p>
    <w:p w:rsidR="00C141E3" w:rsidRPr="00C141E3" w:rsidRDefault="00C141E3" w:rsidP="00624C6C">
      <w:pPr>
        <w:rPr>
          <w:color w:val="000000"/>
        </w:rPr>
      </w:pPr>
    </w:p>
    <w:p w:rsidR="00C141E3" w:rsidRPr="00C141E3" w:rsidRDefault="00C141E3" w:rsidP="00624C6C">
      <w:pPr>
        <w:ind w:left="2880" w:hanging="720"/>
        <w:rPr>
          <w:color w:val="000000"/>
        </w:rPr>
      </w:pPr>
      <w:r w:rsidRPr="00C141E3">
        <w:rPr>
          <w:color w:val="000000"/>
        </w:rPr>
        <w:t>C)</w:t>
      </w:r>
      <w:r w:rsidRPr="00C141E3">
        <w:rPr>
          <w:color w:val="000000"/>
        </w:rPr>
        <w:tab/>
        <w:t xml:space="preserve">describe with specificity the clinical and other information to be included in the response; </w:t>
      </w:r>
    </w:p>
    <w:p w:rsidR="00C141E3" w:rsidRPr="00C141E3" w:rsidRDefault="00C141E3" w:rsidP="00624C6C">
      <w:pPr>
        <w:rPr>
          <w:color w:val="000000"/>
        </w:rPr>
      </w:pPr>
    </w:p>
    <w:p w:rsidR="00C141E3" w:rsidRPr="00C141E3" w:rsidRDefault="00C141E3" w:rsidP="00624C6C">
      <w:pPr>
        <w:ind w:left="1440" w:firstLine="720"/>
        <w:rPr>
          <w:color w:val="000000"/>
        </w:rPr>
      </w:pPr>
      <w:r w:rsidRPr="00C141E3">
        <w:rPr>
          <w:color w:val="000000"/>
        </w:rPr>
        <w:t>D)</w:t>
      </w:r>
      <w:r w:rsidRPr="00C141E3">
        <w:rPr>
          <w:color w:val="000000"/>
        </w:rPr>
        <w:tab/>
        <w:t xml:space="preserve">be relevant and necessary for the resolution of the bill; </w:t>
      </w:r>
    </w:p>
    <w:p w:rsidR="00C141E3" w:rsidRPr="00C141E3" w:rsidRDefault="00C141E3" w:rsidP="00624C6C">
      <w:pPr>
        <w:rPr>
          <w:color w:val="000000"/>
        </w:rPr>
      </w:pPr>
    </w:p>
    <w:p w:rsidR="00C141E3" w:rsidRPr="00C141E3" w:rsidRDefault="00C141E3" w:rsidP="00624C6C">
      <w:pPr>
        <w:ind w:left="2880" w:hanging="720"/>
        <w:rPr>
          <w:color w:val="000000"/>
        </w:rPr>
      </w:pPr>
      <w:r w:rsidRPr="00C141E3">
        <w:rPr>
          <w:color w:val="000000"/>
        </w:rPr>
        <w:lastRenderedPageBreak/>
        <w:t>E)</w:t>
      </w:r>
      <w:r w:rsidRPr="00C141E3">
        <w:rPr>
          <w:color w:val="000000"/>
        </w:rPr>
        <w:tab/>
        <w:t xml:space="preserve">be for information that is contained in or is in the process of being incorporated into the injured employee's medical or billing record maintained by the health care provider; and </w:t>
      </w:r>
    </w:p>
    <w:p w:rsidR="00C141E3" w:rsidRPr="00C141E3" w:rsidRDefault="00C141E3" w:rsidP="00624C6C">
      <w:pPr>
        <w:rPr>
          <w:color w:val="000000"/>
        </w:rPr>
      </w:pPr>
    </w:p>
    <w:p w:rsidR="00C141E3" w:rsidRPr="00C141E3" w:rsidRDefault="00C141E3" w:rsidP="00624C6C">
      <w:pPr>
        <w:ind w:left="2880" w:hanging="720"/>
        <w:rPr>
          <w:color w:val="000000"/>
        </w:rPr>
      </w:pPr>
      <w:r w:rsidRPr="00C141E3">
        <w:rPr>
          <w:color w:val="000000"/>
        </w:rPr>
        <w:t>F)</w:t>
      </w:r>
      <w:r w:rsidRPr="00C141E3">
        <w:rPr>
          <w:color w:val="000000"/>
        </w:rPr>
        <w:tab/>
        <w:t>indicate the specific reason for which the insurance carrier is requesting the information.</w:t>
      </w:r>
    </w:p>
    <w:p w:rsidR="00C141E3" w:rsidRPr="00C141E3" w:rsidRDefault="00C141E3" w:rsidP="00624C6C">
      <w:pPr>
        <w:rPr>
          <w:color w:val="000000"/>
        </w:rPr>
      </w:pPr>
      <w:r w:rsidRPr="00C141E3">
        <w:rPr>
          <w:color w:val="000000"/>
        </w:rPr>
        <w:t xml:space="preserve"> </w:t>
      </w:r>
    </w:p>
    <w:p w:rsidR="00C141E3" w:rsidRPr="00C141E3" w:rsidRDefault="00C141E3" w:rsidP="00624C6C">
      <w:pPr>
        <w:ind w:left="2160" w:hanging="720"/>
        <w:rPr>
          <w:color w:val="000000"/>
        </w:rPr>
      </w:pPr>
      <w:r w:rsidRPr="00C141E3">
        <w:rPr>
          <w:color w:val="000000"/>
        </w:rPr>
        <w:t>2)</w:t>
      </w:r>
      <w:r w:rsidRPr="00C141E3">
        <w:rPr>
          <w:color w:val="000000"/>
        </w:rPr>
        <w:tab/>
        <w:t xml:space="preserve">If the payer or its agent obtains the missing information and completes the bill to the point it can be adjudicated for payment, the payer shall document the name and telephone number of the person who supplied the information. </w:t>
      </w:r>
    </w:p>
    <w:p w:rsidR="00C141E3" w:rsidRPr="00C141E3" w:rsidRDefault="00C141E3" w:rsidP="00624C6C">
      <w:pPr>
        <w:rPr>
          <w:color w:val="000000"/>
        </w:rPr>
      </w:pPr>
    </w:p>
    <w:p w:rsidR="00C141E3" w:rsidRPr="00C141E3" w:rsidRDefault="00C141E3" w:rsidP="00624C6C">
      <w:pPr>
        <w:ind w:left="2160" w:hanging="720"/>
        <w:rPr>
          <w:color w:val="000000"/>
        </w:rPr>
      </w:pPr>
      <w:r w:rsidRPr="00C141E3">
        <w:rPr>
          <w:color w:val="000000"/>
        </w:rPr>
        <w:t>3)</w:t>
      </w:r>
      <w:r w:rsidRPr="00C141E3">
        <w:rPr>
          <w:color w:val="000000"/>
        </w:rPr>
        <w:tab/>
        <w:t xml:space="preserve">Payers shall maintain </w:t>
      </w:r>
      <w:r w:rsidRPr="00C141E3">
        <w:t>documentation of any pertinent internal or external communications that are necessary to make the medical bill complete.</w:t>
      </w:r>
    </w:p>
    <w:p w:rsidR="00C141E3" w:rsidRPr="00C141E3" w:rsidRDefault="00C141E3" w:rsidP="00624C6C">
      <w:pPr>
        <w:rPr>
          <w:color w:val="000000"/>
        </w:rPr>
      </w:pPr>
    </w:p>
    <w:p w:rsidR="00C141E3" w:rsidRPr="00C141E3" w:rsidRDefault="00624C6C" w:rsidP="00624C6C">
      <w:pPr>
        <w:ind w:left="1440" w:hanging="720"/>
        <w:rPr>
          <w:color w:val="000000"/>
        </w:rPr>
      </w:pPr>
      <w:r>
        <w:rPr>
          <w:color w:val="000000"/>
        </w:rPr>
        <w:t>d)</w:t>
      </w:r>
      <w:r>
        <w:rPr>
          <w:color w:val="000000"/>
        </w:rPr>
        <w:tab/>
      </w:r>
      <w:r w:rsidR="00C141E3" w:rsidRPr="00C141E3">
        <w:rPr>
          <w:color w:val="000000"/>
        </w:rPr>
        <w:t xml:space="preserve">A payer shall not return a medical bill except as provided in subsection (a). When rejecting or denying an electronic medical bill, the payer shall </w:t>
      </w:r>
      <w:r w:rsidR="00BA63EA">
        <w:rPr>
          <w:color w:val="000000"/>
        </w:rPr>
        <w:t xml:space="preserve">provide written notification in the form of an explanation of benefits and </w:t>
      </w:r>
      <w:r w:rsidR="00C141E3" w:rsidRPr="00C141E3">
        <w:rPr>
          <w:color w:val="000000"/>
        </w:rPr>
        <w:t>clearly identify the reasons for the bill</w:t>
      </w:r>
      <w:r>
        <w:rPr>
          <w:color w:val="000000"/>
        </w:rPr>
        <w:t>'</w:t>
      </w:r>
      <w:r w:rsidR="00C141E3" w:rsidRPr="00C141E3">
        <w:rPr>
          <w:color w:val="000000"/>
        </w:rPr>
        <w:t xml:space="preserve">s rejection or denial by utilizing the appropriate Reason and Rejection Code identified in the standards incorporated by reference in Section 2908.40. </w:t>
      </w:r>
    </w:p>
    <w:p w:rsidR="00C141E3" w:rsidRPr="00C141E3" w:rsidRDefault="00C141E3" w:rsidP="00624C6C">
      <w:pPr>
        <w:rPr>
          <w:color w:val="000000"/>
        </w:rPr>
      </w:pPr>
    </w:p>
    <w:p w:rsidR="00C141E3" w:rsidRPr="00C141E3" w:rsidRDefault="00C141E3" w:rsidP="00624C6C">
      <w:pPr>
        <w:ind w:left="1440" w:hanging="720"/>
        <w:rPr>
          <w:color w:val="000000"/>
        </w:rPr>
      </w:pPr>
      <w:r w:rsidRPr="00C141E3">
        <w:rPr>
          <w:color w:val="000000"/>
        </w:rPr>
        <w:t>e)</w:t>
      </w:r>
      <w:r w:rsidRPr="00C141E3">
        <w:rPr>
          <w:color w:val="000000"/>
        </w:rPr>
        <w:tab/>
        <w:t xml:space="preserve">The rejection of an incomplete medical bill in accordance with this Section fulfills the obligation of the payer to provide to the health care provider or its agent information related to the incompleteness of the bill. </w:t>
      </w:r>
    </w:p>
    <w:p w:rsidR="00C141E3" w:rsidRPr="00C141E3" w:rsidRDefault="00C141E3" w:rsidP="00624C6C">
      <w:pPr>
        <w:rPr>
          <w:color w:val="000000"/>
        </w:rPr>
      </w:pPr>
    </w:p>
    <w:p w:rsidR="00C141E3" w:rsidRPr="00C141E3" w:rsidRDefault="00C141E3" w:rsidP="00624C6C">
      <w:pPr>
        <w:ind w:left="1440" w:hanging="720"/>
        <w:rPr>
          <w:color w:val="000000"/>
        </w:rPr>
      </w:pPr>
      <w:r w:rsidRPr="00C141E3">
        <w:rPr>
          <w:color w:val="000000"/>
        </w:rPr>
        <w:t>f)</w:t>
      </w:r>
      <w:r w:rsidRPr="00C141E3">
        <w:rPr>
          <w:color w:val="000000"/>
        </w:rPr>
        <w:tab/>
        <w:t>Payers shall timely reject incomplete bills or request additional information needed to reasonably determine the amount payable.</w:t>
      </w:r>
    </w:p>
    <w:p w:rsidR="00C141E3" w:rsidRPr="00C141E3" w:rsidRDefault="00C141E3" w:rsidP="00624C6C">
      <w:pPr>
        <w:rPr>
          <w:color w:val="000000"/>
        </w:rPr>
      </w:pPr>
      <w:r w:rsidRPr="00C141E3">
        <w:rPr>
          <w:color w:val="000000"/>
        </w:rPr>
        <w:t xml:space="preserve"> </w:t>
      </w:r>
    </w:p>
    <w:p w:rsidR="00C141E3" w:rsidRPr="00C141E3" w:rsidRDefault="00C141E3" w:rsidP="00624C6C">
      <w:pPr>
        <w:ind w:left="2160" w:hanging="720"/>
        <w:rPr>
          <w:color w:val="000000"/>
        </w:rPr>
      </w:pPr>
      <w:r w:rsidRPr="00C141E3">
        <w:rPr>
          <w:color w:val="000000"/>
        </w:rPr>
        <w:t>1)</w:t>
      </w:r>
      <w:r w:rsidRPr="00C141E3">
        <w:rPr>
          <w:color w:val="000000"/>
        </w:rPr>
        <w:tab/>
        <w:t>For bills submitted electronically, the rejection of</w:t>
      </w:r>
      <w:r w:rsidRPr="00C141E3">
        <w:t xml:space="preserve"> the entire bill or the rejection of specific service lines included in the initial</w:t>
      </w:r>
      <w:r w:rsidRPr="00C141E3">
        <w:rPr>
          <w:color w:val="000000"/>
        </w:rPr>
        <w:t xml:space="preserve"> bill shall be sent to the submitter within two business days after receipt. </w:t>
      </w:r>
    </w:p>
    <w:p w:rsidR="00C141E3" w:rsidRPr="00C141E3" w:rsidRDefault="00C141E3" w:rsidP="00624C6C">
      <w:pPr>
        <w:rPr>
          <w:color w:val="000000"/>
        </w:rPr>
      </w:pPr>
    </w:p>
    <w:p w:rsidR="00C141E3" w:rsidRPr="00C141E3" w:rsidRDefault="00C141E3" w:rsidP="00624C6C">
      <w:pPr>
        <w:ind w:left="2160" w:hanging="720"/>
        <w:rPr>
          <w:color w:val="000000"/>
        </w:rPr>
      </w:pPr>
      <w:r w:rsidRPr="00C141E3">
        <w:rPr>
          <w:color w:val="000000"/>
        </w:rPr>
        <w:t>2)</w:t>
      </w:r>
      <w:r w:rsidRPr="00C141E3">
        <w:rPr>
          <w:color w:val="000000"/>
        </w:rPr>
        <w:tab/>
        <w:t xml:space="preserve">If bills are submitted in a batch transmission, only the specific bills failing edits shall be rejected. </w:t>
      </w:r>
    </w:p>
    <w:p w:rsidR="00C141E3" w:rsidRPr="00C141E3" w:rsidRDefault="00C141E3" w:rsidP="00624C6C">
      <w:pPr>
        <w:rPr>
          <w:color w:val="000000"/>
        </w:rPr>
      </w:pPr>
    </w:p>
    <w:p w:rsidR="00C141E3" w:rsidRPr="00C141E3" w:rsidRDefault="00C141E3" w:rsidP="00624C6C">
      <w:pPr>
        <w:ind w:left="2160" w:hanging="720"/>
        <w:rPr>
          <w:color w:val="000000"/>
        </w:rPr>
      </w:pPr>
      <w:r w:rsidRPr="00C141E3">
        <w:t>3)</w:t>
      </w:r>
      <w:r w:rsidRPr="00C141E3">
        <w:tab/>
        <w:t xml:space="preserve">If there is a technical defect within the transmission itself that prevents the bills from being accessed or processed, the transmission will be rejected with a TA1 and/or a 999 transaction, as appropriate. </w:t>
      </w:r>
    </w:p>
    <w:p w:rsidR="00C141E3" w:rsidRPr="00C141E3" w:rsidRDefault="00C141E3" w:rsidP="00624C6C">
      <w:pPr>
        <w:rPr>
          <w:color w:val="000000"/>
        </w:rPr>
      </w:pPr>
    </w:p>
    <w:p w:rsidR="00C141E3" w:rsidRPr="00C141E3" w:rsidRDefault="00C141E3" w:rsidP="00624C6C">
      <w:pPr>
        <w:ind w:left="1440" w:hanging="720"/>
        <w:rPr>
          <w:color w:val="000000"/>
        </w:rPr>
      </w:pPr>
      <w:r w:rsidRPr="00C141E3">
        <w:rPr>
          <w:color w:val="000000"/>
        </w:rPr>
        <w:t>g)</w:t>
      </w:r>
      <w:r w:rsidRPr="00C141E3">
        <w:rPr>
          <w:color w:val="000000"/>
        </w:rPr>
        <w:tab/>
        <w:t xml:space="preserve">If a payer has reason to challenge the coverage or amount of a specific line item on a bill, but has no reasonable basis for objections to the remainder of the bill, the uncontested portion must be paid timely, as defined in subsection (h). </w:t>
      </w:r>
    </w:p>
    <w:p w:rsidR="00C141E3" w:rsidRPr="00C141E3" w:rsidRDefault="00C141E3" w:rsidP="00624C6C">
      <w:pPr>
        <w:rPr>
          <w:color w:val="000000"/>
        </w:rPr>
      </w:pPr>
    </w:p>
    <w:p w:rsidR="00C141E3" w:rsidRPr="00C141E3" w:rsidRDefault="00C141E3" w:rsidP="00624C6C">
      <w:pPr>
        <w:ind w:left="1440" w:hanging="720"/>
        <w:rPr>
          <w:color w:val="000000"/>
        </w:rPr>
      </w:pPr>
      <w:r w:rsidRPr="00C141E3">
        <w:rPr>
          <w:color w:val="000000"/>
        </w:rPr>
        <w:t>h)</w:t>
      </w:r>
      <w:r w:rsidRPr="00C141E3">
        <w:rPr>
          <w:color w:val="000000"/>
        </w:rPr>
        <w:tab/>
        <w:t xml:space="preserve">Payment of all uncontested portions of a complete medical bill shall be made within 30 days after receipt of the original bill or receipt of additional information requested by the payer allowed under the law. Amounts paid after this 30 day review period will accrue an interest penalty of one percent per month after the due date. The interest payment must be made at the same time as the medical bill payment. </w:t>
      </w:r>
    </w:p>
    <w:p w:rsidR="00C141E3" w:rsidRPr="00C141E3" w:rsidRDefault="00C141E3" w:rsidP="00624C6C">
      <w:pPr>
        <w:rPr>
          <w:color w:val="000000"/>
        </w:rPr>
      </w:pPr>
    </w:p>
    <w:p w:rsidR="00C141E3" w:rsidRDefault="00624C6C" w:rsidP="00624C6C">
      <w:pPr>
        <w:ind w:left="1440" w:hanging="720"/>
        <w:rPr>
          <w:color w:val="000000"/>
        </w:rPr>
      </w:pPr>
      <w:r>
        <w:rPr>
          <w:color w:val="000000"/>
        </w:rPr>
        <w:t>i)</w:t>
      </w:r>
      <w:r>
        <w:rPr>
          <w:color w:val="000000"/>
        </w:rPr>
        <w:tab/>
      </w:r>
      <w:r w:rsidR="00C141E3" w:rsidRPr="00C141E3">
        <w:rPr>
          <w:color w:val="000000"/>
        </w:rPr>
        <w:t>A payer shall not reject or deny a medical bill except as provided in this Section. When rejecting or denying a medical bill, the payer shall also communicate the reasons for the medical bill</w:t>
      </w:r>
      <w:r>
        <w:rPr>
          <w:color w:val="000000"/>
        </w:rPr>
        <w:t>'</w:t>
      </w:r>
      <w:r w:rsidR="00C141E3" w:rsidRPr="00C141E3">
        <w:rPr>
          <w:color w:val="000000"/>
        </w:rPr>
        <w:t xml:space="preserve">s rejection or denial. </w:t>
      </w:r>
    </w:p>
    <w:p w:rsidR="0043227E" w:rsidRDefault="0043227E" w:rsidP="002019A2">
      <w:pPr>
        <w:rPr>
          <w:color w:val="000000"/>
        </w:rPr>
      </w:pPr>
      <w:bookmarkStart w:id="0" w:name="_GoBack"/>
      <w:bookmarkEnd w:id="0"/>
    </w:p>
    <w:p w:rsidR="0043227E" w:rsidRPr="00C141E3" w:rsidRDefault="0043227E" w:rsidP="00624C6C">
      <w:pPr>
        <w:ind w:left="1440" w:hanging="720"/>
        <w:rPr>
          <w:color w:val="000000"/>
        </w:rPr>
      </w:pPr>
      <w:r w:rsidRPr="0043227E">
        <w:rPr>
          <w:color w:val="000000"/>
        </w:rPr>
        <w:t xml:space="preserve">(Source:  Amended at 43 Ill. Reg. </w:t>
      </w:r>
      <w:r w:rsidR="00297063">
        <w:rPr>
          <w:color w:val="000000"/>
        </w:rPr>
        <w:t>9237</w:t>
      </w:r>
      <w:r w:rsidRPr="0043227E">
        <w:rPr>
          <w:color w:val="000000"/>
        </w:rPr>
        <w:t xml:space="preserve">, effective </w:t>
      </w:r>
      <w:r w:rsidR="00297063">
        <w:rPr>
          <w:color w:val="000000"/>
        </w:rPr>
        <w:t>August 19, 2019</w:t>
      </w:r>
      <w:r w:rsidRPr="0043227E">
        <w:rPr>
          <w:color w:val="000000"/>
        </w:rPr>
        <w:t>)</w:t>
      </w:r>
    </w:p>
    <w:sectPr w:rsidR="0043227E" w:rsidRPr="00C141E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1E3" w:rsidRDefault="00C141E3">
      <w:r>
        <w:separator/>
      </w:r>
    </w:p>
  </w:endnote>
  <w:endnote w:type="continuationSeparator" w:id="0">
    <w:p w:rsidR="00C141E3" w:rsidRDefault="00C1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1E3" w:rsidRDefault="00C141E3">
      <w:r>
        <w:separator/>
      </w:r>
    </w:p>
  </w:footnote>
  <w:footnote w:type="continuationSeparator" w:id="0">
    <w:p w:rsidR="00C141E3" w:rsidRDefault="00C141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13B4F"/>
    <w:multiLevelType w:val="hybridMultilevel"/>
    <w:tmpl w:val="39FA9F02"/>
    <w:lvl w:ilvl="0" w:tplc="E37222C4">
      <w:start w:val="1"/>
      <w:numFmt w:val="decimal"/>
      <w:lvlText w:val="%1)"/>
      <w:lvlJc w:val="left"/>
      <w:pPr>
        <w:ind w:left="1804" w:hanging="360"/>
      </w:pPr>
    </w:lvl>
    <w:lvl w:ilvl="1" w:tplc="04090019">
      <w:start w:val="1"/>
      <w:numFmt w:val="lowerLetter"/>
      <w:lvlText w:val="%2."/>
      <w:lvlJc w:val="left"/>
      <w:pPr>
        <w:ind w:left="2524" w:hanging="360"/>
      </w:pPr>
    </w:lvl>
    <w:lvl w:ilvl="2" w:tplc="0409001B">
      <w:start w:val="1"/>
      <w:numFmt w:val="lowerRoman"/>
      <w:lvlText w:val="%3."/>
      <w:lvlJc w:val="right"/>
      <w:pPr>
        <w:ind w:left="3244" w:hanging="180"/>
      </w:pPr>
    </w:lvl>
    <w:lvl w:ilvl="3" w:tplc="0409000F">
      <w:start w:val="1"/>
      <w:numFmt w:val="decimal"/>
      <w:lvlText w:val="%4."/>
      <w:lvlJc w:val="left"/>
      <w:pPr>
        <w:ind w:left="3964" w:hanging="360"/>
      </w:pPr>
    </w:lvl>
    <w:lvl w:ilvl="4" w:tplc="04090019">
      <w:start w:val="1"/>
      <w:numFmt w:val="lowerLetter"/>
      <w:lvlText w:val="%5."/>
      <w:lvlJc w:val="left"/>
      <w:pPr>
        <w:ind w:left="4684" w:hanging="360"/>
      </w:pPr>
    </w:lvl>
    <w:lvl w:ilvl="5" w:tplc="0409001B">
      <w:start w:val="1"/>
      <w:numFmt w:val="lowerRoman"/>
      <w:lvlText w:val="%6."/>
      <w:lvlJc w:val="right"/>
      <w:pPr>
        <w:ind w:left="5404" w:hanging="180"/>
      </w:pPr>
    </w:lvl>
    <w:lvl w:ilvl="6" w:tplc="0409000F">
      <w:start w:val="1"/>
      <w:numFmt w:val="decimal"/>
      <w:lvlText w:val="%7."/>
      <w:lvlJc w:val="left"/>
      <w:pPr>
        <w:ind w:left="6124" w:hanging="360"/>
      </w:pPr>
    </w:lvl>
    <w:lvl w:ilvl="7" w:tplc="04090019">
      <w:start w:val="1"/>
      <w:numFmt w:val="lowerLetter"/>
      <w:lvlText w:val="%8."/>
      <w:lvlJc w:val="left"/>
      <w:pPr>
        <w:ind w:left="6844" w:hanging="360"/>
      </w:pPr>
    </w:lvl>
    <w:lvl w:ilvl="8" w:tplc="0409001B">
      <w:start w:val="1"/>
      <w:numFmt w:val="lowerRoman"/>
      <w:lvlText w:val="%9."/>
      <w:lvlJc w:val="right"/>
      <w:pPr>
        <w:ind w:left="7564" w:hanging="180"/>
      </w:pPr>
    </w:lvl>
  </w:abstractNum>
  <w:abstractNum w:abstractNumId="1" w15:restartNumberingAfterBreak="0">
    <w:nsid w:val="1BB65C77"/>
    <w:multiLevelType w:val="hybridMultilevel"/>
    <w:tmpl w:val="731A34B2"/>
    <w:lvl w:ilvl="0" w:tplc="93A6CBBC">
      <w:start w:val="1"/>
      <w:numFmt w:val="upperLetter"/>
      <w:lvlText w:val="%1)"/>
      <w:lvlJc w:val="left"/>
      <w:pPr>
        <w:ind w:left="2522" w:hanging="360"/>
      </w:pPr>
    </w:lvl>
    <w:lvl w:ilvl="1" w:tplc="04090019">
      <w:start w:val="1"/>
      <w:numFmt w:val="lowerLetter"/>
      <w:lvlText w:val="%2."/>
      <w:lvlJc w:val="left"/>
      <w:pPr>
        <w:ind w:left="3242" w:hanging="360"/>
      </w:pPr>
    </w:lvl>
    <w:lvl w:ilvl="2" w:tplc="0409001B">
      <w:start w:val="1"/>
      <w:numFmt w:val="lowerRoman"/>
      <w:lvlText w:val="%3."/>
      <w:lvlJc w:val="right"/>
      <w:pPr>
        <w:ind w:left="3962" w:hanging="180"/>
      </w:pPr>
    </w:lvl>
    <w:lvl w:ilvl="3" w:tplc="0409000F">
      <w:start w:val="1"/>
      <w:numFmt w:val="decimal"/>
      <w:lvlText w:val="%4."/>
      <w:lvlJc w:val="left"/>
      <w:pPr>
        <w:ind w:left="4682" w:hanging="360"/>
      </w:pPr>
    </w:lvl>
    <w:lvl w:ilvl="4" w:tplc="04090019">
      <w:start w:val="1"/>
      <w:numFmt w:val="lowerLetter"/>
      <w:lvlText w:val="%5."/>
      <w:lvlJc w:val="left"/>
      <w:pPr>
        <w:ind w:left="5402" w:hanging="360"/>
      </w:pPr>
    </w:lvl>
    <w:lvl w:ilvl="5" w:tplc="0409001B">
      <w:start w:val="1"/>
      <w:numFmt w:val="lowerRoman"/>
      <w:lvlText w:val="%6."/>
      <w:lvlJc w:val="right"/>
      <w:pPr>
        <w:ind w:left="6122" w:hanging="180"/>
      </w:pPr>
    </w:lvl>
    <w:lvl w:ilvl="6" w:tplc="0409000F">
      <w:start w:val="1"/>
      <w:numFmt w:val="decimal"/>
      <w:lvlText w:val="%7."/>
      <w:lvlJc w:val="left"/>
      <w:pPr>
        <w:ind w:left="6842" w:hanging="360"/>
      </w:pPr>
    </w:lvl>
    <w:lvl w:ilvl="7" w:tplc="04090019">
      <w:start w:val="1"/>
      <w:numFmt w:val="lowerLetter"/>
      <w:lvlText w:val="%8."/>
      <w:lvlJc w:val="left"/>
      <w:pPr>
        <w:ind w:left="7562" w:hanging="360"/>
      </w:pPr>
    </w:lvl>
    <w:lvl w:ilvl="8" w:tplc="0409001B">
      <w:start w:val="1"/>
      <w:numFmt w:val="lowerRoman"/>
      <w:lvlText w:val="%9."/>
      <w:lvlJc w:val="right"/>
      <w:pPr>
        <w:ind w:left="8282" w:hanging="180"/>
      </w:pPr>
    </w:lvl>
  </w:abstractNum>
  <w:abstractNum w:abstractNumId="2" w15:restartNumberingAfterBreak="0">
    <w:nsid w:val="57C15F63"/>
    <w:multiLevelType w:val="hybridMultilevel"/>
    <w:tmpl w:val="D7684FAA"/>
    <w:lvl w:ilvl="0" w:tplc="C5E2EEF8">
      <w:start w:val="1"/>
      <w:numFmt w:val="lowerRoman"/>
      <w:lvlText w:val="%1)"/>
      <w:lvlJc w:val="left"/>
      <w:pPr>
        <w:ind w:left="1442" w:hanging="720"/>
      </w:pPr>
      <w:rPr>
        <w:color w:val="auto"/>
      </w:rPr>
    </w:lvl>
    <w:lvl w:ilvl="1" w:tplc="04090019">
      <w:start w:val="1"/>
      <w:numFmt w:val="lowerLetter"/>
      <w:lvlText w:val="%2."/>
      <w:lvlJc w:val="left"/>
      <w:pPr>
        <w:ind w:left="1802" w:hanging="360"/>
      </w:pPr>
    </w:lvl>
    <w:lvl w:ilvl="2" w:tplc="0409001B">
      <w:start w:val="1"/>
      <w:numFmt w:val="lowerRoman"/>
      <w:lvlText w:val="%3."/>
      <w:lvlJc w:val="right"/>
      <w:pPr>
        <w:ind w:left="2522" w:hanging="180"/>
      </w:pPr>
    </w:lvl>
    <w:lvl w:ilvl="3" w:tplc="0409000F">
      <w:start w:val="1"/>
      <w:numFmt w:val="decimal"/>
      <w:lvlText w:val="%4."/>
      <w:lvlJc w:val="left"/>
      <w:pPr>
        <w:ind w:left="3242" w:hanging="360"/>
      </w:pPr>
    </w:lvl>
    <w:lvl w:ilvl="4" w:tplc="04090019">
      <w:start w:val="1"/>
      <w:numFmt w:val="lowerLetter"/>
      <w:lvlText w:val="%5."/>
      <w:lvlJc w:val="left"/>
      <w:pPr>
        <w:ind w:left="3962" w:hanging="360"/>
      </w:pPr>
    </w:lvl>
    <w:lvl w:ilvl="5" w:tplc="0409001B">
      <w:start w:val="1"/>
      <w:numFmt w:val="lowerRoman"/>
      <w:lvlText w:val="%6."/>
      <w:lvlJc w:val="right"/>
      <w:pPr>
        <w:ind w:left="4682" w:hanging="180"/>
      </w:pPr>
    </w:lvl>
    <w:lvl w:ilvl="6" w:tplc="0409000F">
      <w:start w:val="1"/>
      <w:numFmt w:val="decimal"/>
      <w:lvlText w:val="%7."/>
      <w:lvlJc w:val="left"/>
      <w:pPr>
        <w:ind w:left="5402" w:hanging="360"/>
      </w:pPr>
    </w:lvl>
    <w:lvl w:ilvl="7" w:tplc="04090019">
      <w:start w:val="1"/>
      <w:numFmt w:val="lowerLetter"/>
      <w:lvlText w:val="%8."/>
      <w:lvlJc w:val="left"/>
      <w:pPr>
        <w:ind w:left="6122" w:hanging="360"/>
      </w:pPr>
    </w:lvl>
    <w:lvl w:ilvl="8" w:tplc="0409001B">
      <w:start w:val="1"/>
      <w:numFmt w:val="lowerRoman"/>
      <w:lvlText w:val="%9."/>
      <w:lvlJc w:val="right"/>
      <w:pPr>
        <w:ind w:left="6842" w:hanging="180"/>
      </w:pPr>
    </w:lvl>
  </w:abstractNum>
  <w:abstractNum w:abstractNumId="3" w15:restartNumberingAfterBreak="0">
    <w:nsid w:val="698020ED"/>
    <w:multiLevelType w:val="hybridMultilevel"/>
    <w:tmpl w:val="50B0CC14"/>
    <w:lvl w:ilvl="0" w:tplc="B650C1FE">
      <w:start w:val="1"/>
      <w:numFmt w:val="lowerLetter"/>
      <w:lvlText w:val="%1)"/>
      <w:lvlJc w:val="left"/>
      <w:pPr>
        <w:ind w:left="1081" w:hanging="360"/>
      </w:pPr>
      <w:rPr>
        <w:strike w:val="0"/>
        <w:dstrike w:val="0"/>
        <w:u w:val="none"/>
        <w:effect w:val="none"/>
      </w:rPr>
    </w:lvl>
    <w:lvl w:ilvl="1" w:tplc="04090019">
      <w:start w:val="1"/>
      <w:numFmt w:val="lowerLetter"/>
      <w:lvlText w:val="%2."/>
      <w:lvlJc w:val="left"/>
      <w:pPr>
        <w:ind w:left="1801" w:hanging="360"/>
      </w:pPr>
    </w:lvl>
    <w:lvl w:ilvl="2" w:tplc="0409001B">
      <w:start w:val="1"/>
      <w:numFmt w:val="lowerRoman"/>
      <w:lvlText w:val="%3."/>
      <w:lvlJc w:val="right"/>
      <w:pPr>
        <w:ind w:left="2521" w:hanging="180"/>
      </w:pPr>
    </w:lvl>
    <w:lvl w:ilvl="3" w:tplc="0409000F">
      <w:start w:val="1"/>
      <w:numFmt w:val="decimal"/>
      <w:lvlText w:val="%4."/>
      <w:lvlJc w:val="left"/>
      <w:pPr>
        <w:ind w:left="3241" w:hanging="360"/>
      </w:pPr>
    </w:lvl>
    <w:lvl w:ilvl="4" w:tplc="04090019">
      <w:start w:val="1"/>
      <w:numFmt w:val="lowerLetter"/>
      <w:lvlText w:val="%5."/>
      <w:lvlJc w:val="left"/>
      <w:pPr>
        <w:ind w:left="3961" w:hanging="360"/>
      </w:pPr>
    </w:lvl>
    <w:lvl w:ilvl="5" w:tplc="0409001B">
      <w:start w:val="1"/>
      <w:numFmt w:val="lowerRoman"/>
      <w:lvlText w:val="%6."/>
      <w:lvlJc w:val="right"/>
      <w:pPr>
        <w:ind w:left="4681" w:hanging="180"/>
      </w:pPr>
    </w:lvl>
    <w:lvl w:ilvl="6" w:tplc="0409000F">
      <w:start w:val="1"/>
      <w:numFmt w:val="decimal"/>
      <w:lvlText w:val="%7."/>
      <w:lvlJc w:val="left"/>
      <w:pPr>
        <w:ind w:left="5401" w:hanging="360"/>
      </w:pPr>
    </w:lvl>
    <w:lvl w:ilvl="7" w:tplc="04090019">
      <w:start w:val="1"/>
      <w:numFmt w:val="lowerLetter"/>
      <w:lvlText w:val="%8."/>
      <w:lvlJc w:val="left"/>
      <w:pPr>
        <w:ind w:left="6121" w:hanging="360"/>
      </w:pPr>
    </w:lvl>
    <w:lvl w:ilvl="8" w:tplc="0409001B">
      <w:start w:val="1"/>
      <w:numFmt w:val="lowerRoman"/>
      <w:lvlText w:val="%9."/>
      <w:lvlJc w:val="right"/>
      <w:pPr>
        <w:ind w:left="6841" w:hanging="180"/>
      </w:pPr>
    </w:lvl>
  </w:abstractNum>
  <w:abstractNum w:abstractNumId="4" w15:restartNumberingAfterBreak="0">
    <w:nsid w:val="6C344CEF"/>
    <w:multiLevelType w:val="hybridMultilevel"/>
    <w:tmpl w:val="DD385FCC"/>
    <w:lvl w:ilvl="0" w:tplc="F9D60E46">
      <w:start w:val="1"/>
      <w:numFmt w:val="decimal"/>
      <w:lvlText w:val="%1)"/>
      <w:lvlJc w:val="left"/>
      <w:pPr>
        <w:ind w:left="1801" w:hanging="360"/>
      </w:pPr>
    </w:lvl>
    <w:lvl w:ilvl="1" w:tplc="04090019">
      <w:start w:val="1"/>
      <w:numFmt w:val="lowerLetter"/>
      <w:lvlText w:val="%2."/>
      <w:lvlJc w:val="left"/>
      <w:pPr>
        <w:ind w:left="2521" w:hanging="360"/>
      </w:pPr>
    </w:lvl>
    <w:lvl w:ilvl="2" w:tplc="0409001B">
      <w:start w:val="1"/>
      <w:numFmt w:val="lowerRoman"/>
      <w:lvlText w:val="%3."/>
      <w:lvlJc w:val="right"/>
      <w:pPr>
        <w:ind w:left="3241" w:hanging="180"/>
      </w:pPr>
    </w:lvl>
    <w:lvl w:ilvl="3" w:tplc="0409000F">
      <w:start w:val="1"/>
      <w:numFmt w:val="decimal"/>
      <w:lvlText w:val="%4."/>
      <w:lvlJc w:val="left"/>
      <w:pPr>
        <w:ind w:left="3961" w:hanging="360"/>
      </w:pPr>
    </w:lvl>
    <w:lvl w:ilvl="4" w:tplc="04090019">
      <w:start w:val="1"/>
      <w:numFmt w:val="lowerLetter"/>
      <w:lvlText w:val="%5."/>
      <w:lvlJc w:val="left"/>
      <w:pPr>
        <w:ind w:left="4681" w:hanging="360"/>
      </w:pPr>
    </w:lvl>
    <w:lvl w:ilvl="5" w:tplc="0409001B">
      <w:start w:val="1"/>
      <w:numFmt w:val="lowerRoman"/>
      <w:lvlText w:val="%6."/>
      <w:lvlJc w:val="right"/>
      <w:pPr>
        <w:ind w:left="5401" w:hanging="180"/>
      </w:pPr>
    </w:lvl>
    <w:lvl w:ilvl="6" w:tplc="0409000F">
      <w:start w:val="1"/>
      <w:numFmt w:val="decimal"/>
      <w:lvlText w:val="%7."/>
      <w:lvlJc w:val="left"/>
      <w:pPr>
        <w:ind w:left="6121" w:hanging="360"/>
      </w:pPr>
    </w:lvl>
    <w:lvl w:ilvl="7" w:tplc="04090019">
      <w:start w:val="1"/>
      <w:numFmt w:val="lowerLetter"/>
      <w:lvlText w:val="%8."/>
      <w:lvlJc w:val="left"/>
      <w:pPr>
        <w:ind w:left="6841" w:hanging="360"/>
      </w:pPr>
    </w:lvl>
    <w:lvl w:ilvl="8" w:tplc="0409001B">
      <w:start w:val="1"/>
      <w:numFmt w:val="lowerRoman"/>
      <w:lvlText w:val="%9."/>
      <w:lvlJc w:val="right"/>
      <w:pPr>
        <w:ind w:left="756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1E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23"/>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19A2"/>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7063"/>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27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4C6C"/>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3EA"/>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1E3"/>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6C5"/>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4572"/>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7B542F-81D8-4535-B231-0283CA04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141E3"/>
    <w:pPr>
      <w:spacing w:after="200" w:line="276" w:lineRule="auto"/>
      <w:ind w:left="720"/>
      <w:contextualSpacing/>
    </w:pPr>
    <w:rPr>
      <w:rFonts w:ascii="Calibri" w:eastAsia="Calibri" w:hAnsi="Calibri"/>
      <w:sz w:val="22"/>
      <w:szCs w:val="22"/>
    </w:rPr>
  </w:style>
  <w:style w:type="paragraph" w:customStyle="1" w:styleId="Default">
    <w:name w:val="Default"/>
    <w:rsid w:val="00C141E3"/>
    <w:pPr>
      <w:autoSpaceDE w:val="0"/>
      <w:autoSpaceDN w:val="0"/>
      <w:adjustRightInd w:val="0"/>
    </w:pPr>
    <w:rPr>
      <w:rFonts w:ascii="Arial" w:eastAsia="Calibri" w:hAnsi="Arial" w:cs="Arial"/>
      <w:color w:val="000000"/>
      <w:sz w:val="24"/>
      <w:szCs w:val="24"/>
    </w:rPr>
  </w:style>
  <w:style w:type="character" w:customStyle="1" w:styleId="ptext-45">
    <w:name w:val="ptext-45"/>
    <w:rsid w:val="00C14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7932399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3993</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2019-07-23T17:59:00Z</dcterms:created>
  <dcterms:modified xsi:type="dcterms:W3CDTF">2019-08-26T16:50:00Z</dcterms:modified>
</cp:coreProperties>
</file>