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47" w:rsidRDefault="00E31747" w:rsidP="00EB4A45">
      <w:bookmarkStart w:id="0" w:name="_GoBack"/>
      <w:bookmarkEnd w:id="0"/>
    </w:p>
    <w:p w:rsidR="00EB4A45" w:rsidRPr="00E31747" w:rsidRDefault="00EB4A45" w:rsidP="00EB4A45">
      <w:pPr>
        <w:rPr>
          <w:b/>
        </w:rPr>
      </w:pPr>
      <w:r w:rsidRPr="00E31747">
        <w:rPr>
          <w:b/>
        </w:rPr>
        <w:t>Section 2605.30  Exemptions</w:t>
      </w:r>
    </w:p>
    <w:p w:rsidR="00E31747" w:rsidRDefault="00E31747" w:rsidP="00EB4A45">
      <w:pPr>
        <w:rPr>
          <w:color w:val="000000"/>
        </w:rPr>
      </w:pPr>
    </w:p>
    <w:p w:rsidR="00EB4A45" w:rsidRPr="00EB4A45" w:rsidRDefault="00EB4A45" w:rsidP="00E31747">
      <w:pPr>
        <w:ind w:firstLine="720"/>
      </w:pPr>
      <w:r w:rsidRPr="00EB4A45">
        <w:rPr>
          <w:color w:val="000000"/>
        </w:rPr>
        <w:t>a)</w:t>
      </w:r>
      <w:r w:rsidRPr="00EB4A45">
        <w:rPr>
          <w:color w:val="000000"/>
        </w:rPr>
        <w:tab/>
        <w:t>This Part shall not apply to solicitations or sales involving:</w:t>
      </w:r>
    </w:p>
    <w:p w:rsidR="00EB4A45" w:rsidRPr="00EB4A45" w:rsidRDefault="00EB4A45" w:rsidP="00EB4A45">
      <w:pPr>
        <w:rPr>
          <w:color w:val="000000"/>
        </w:rPr>
      </w:pPr>
    </w:p>
    <w:p w:rsidR="00EB4A45" w:rsidRPr="00EB4A45" w:rsidRDefault="00EB4A45" w:rsidP="00E31747">
      <w:pPr>
        <w:ind w:left="720" w:firstLine="720"/>
      </w:pPr>
      <w:r w:rsidRPr="00EB4A45">
        <w:t>1)</w:t>
      </w:r>
      <w:r w:rsidRPr="00EB4A45">
        <w:tab/>
        <w:t xml:space="preserve">Credit insurance; </w:t>
      </w:r>
    </w:p>
    <w:p w:rsidR="00EB4A45" w:rsidRPr="00EB4A45" w:rsidRDefault="00EB4A45" w:rsidP="00EB4A45">
      <w:pPr>
        <w:rPr>
          <w:strike/>
          <w:color w:val="000000"/>
        </w:rPr>
      </w:pPr>
    </w:p>
    <w:p w:rsidR="00EB4A45" w:rsidRPr="00EB4A45" w:rsidRDefault="00EB4A45" w:rsidP="00E31747">
      <w:pPr>
        <w:ind w:left="2160" w:hanging="720"/>
        <w:rPr>
          <w:color w:val="000000"/>
        </w:rPr>
      </w:pPr>
      <w:r w:rsidRPr="00EB4A45">
        <w:rPr>
          <w:color w:val="000000"/>
        </w:rPr>
        <w:t>2)</w:t>
      </w:r>
      <w:r w:rsidRPr="00EB4A45">
        <w:rPr>
          <w:color w:val="000000"/>
        </w:rPr>
        <w:tab/>
        <w:t>Group life insurance or group annuities whe</w:t>
      </w:r>
      <w:r w:rsidR="0060237C">
        <w:rPr>
          <w:color w:val="000000"/>
        </w:rPr>
        <w:t>n</w:t>
      </w:r>
      <w:r w:rsidRPr="00EB4A45">
        <w:rPr>
          <w:color w:val="000000"/>
        </w:rPr>
        <w:t xml:space="preserve"> there is no in-person, face-to-face solicitation of individuals by an insurance producer or whe</w:t>
      </w:r>
      <w:r w:rsidR="0060237C">
        <w:rPr>
          <w:color w:val="000000"/>
        </w:rPr>
        <w:t>n</w:t>
      </w:r>
      <w:r w:rsidRPr="00EB4A45">
        <w:rPr>
          <w:color w:val="000000"/>
        </w:rPr>
        <w:t xml:space="preserve"> the contract or certificate does not include a side fund;</w:t>
      </w:r>
    </w:p>
    <w:p w:rsidR="00EB4A45" w:rsidRPr="00EB4A45" w:rsidRDefault="00EB4A45" w:rsidP="00EB4A45">
      <w:pPr>
        <w:rPr>
          <w:color w:val="000000"/>
        </w:rPr>
      </w:pPr>
    </w:p>
    <w:p w:rsidR="00EB4A45" w:rsidRPr="00EB4A45" w:rsidRDefault="00EB4A45" w:rsidP="00E31747">
      <w:pPr>
        <w:ind w:left="2160" w:hanging="720"/>
        <w:rPr>
          <w:color w:val="000000"/>
        </w:rPr>
      </w:pPr>
      <w:r w:rsidRPr="00EB4A45">
        <w:rPr>
          <w:color w:val="000000"/>
        </w:rPr>
        <w:t>3)</w:t>
      </w:r>
      <w:r w:rsidRPr="00EB4A45">
        <w:rPr>
          <w:color w:val="000000"/>
        </w:rPr>
        <w:tab/>
        <w:t xml:space="preserve">An application to the existing insurer that issued the existing policy or contract when a contractual change or a conversion privilege is being exercised; or when the existing policy or contract is being replaced by the same insurer pursuant to a program filed with and approved by the </w:t>
      </w:r>
      <w:r w:rsidR="0060237C">
        <w:rPr>
          <w:color w:val="000000"/>
        </w:rPr>
        <w:t>Director</w:t>
      </w:r>
      <w:r w:rsidRPr="00EB4A45">
        <w:rPr>
          <w:color w:val="000000"/>
        </w:rPr>
        <w:t>; or when a term conversion privilege is exercised among corporate affiliates;</w:t>
      </w:r>
    </w:p>
    <w:p w:rsidR="00EB4A45" w:rsidRPr="00EB4A45" w:rsidRDefault="00EB4A45" w:rsidP="00EB4A45">
      <w:pPr>
        <w:rPr>
          <w:color w:val="000000"/>
        </w:rPr>
      </w:pPr>
    </w:p>
    <w:p w:rsidR="00EB4A45" w:rsidRPr="00EB4A45" w:rsidRDefault="00EB4A45" w:rsidP="00E31747">
      <w:pPr>
        <w:ind w:left="2160" w:hanging="720"/>
        <w:rPr>
          <w:color w:val="000000"/>
        </w:rPr>
      </w:pPr>
      <w:r w:rsidRPr="00EB4A45">
        <w:rPr>
          <w:color w:val="000000"/>
        </w:rPr>
        <w:t>4)</w:t>
      </w:r>
      <w:r w:rsidRPr="00EB4A45">
        <w:rPr>
          <w:color w:val="000000"/>
        </w:rPr>
        <w:tab/>
        <w:t>Individual stand-alone health policies, including disability income policies;</w:t>
      </w:r>
    </w:p>
    <w:p w:rsidR="00EB4A45" w:rsidRPr="00EB4A45" w:rsidRDefault="00EB4A45" w:rsidP="00EB4A45">
      <w:pPr>
        <w:rPr>
          <w:color w:val="000000"/>
          <w:u w:val="single"/>
        </w:rPr>
      </w:pPr>
    </w:p>
    <w:p w:rsidR="00EB4A45" w:rsidRPr="00EB4A45" w:rsidRDefault="00EB4A45" w:rsidP="00E31747">
      <w:pPr>
        <w:ind w:left="2160" w:hanging="720"/>
        <w:rPr>
          <w:color w:val="000000"/>
        </w:rPr>
      </w:pPr>
      <w:r w:rsidRPr="00EB4A45">
        <w:rPr>
          <w:color w:val="000000"/>
        </w:rPr>
        <w:t>5)</w:t>
      </w:r>
      <w:r w:rsidRPr="00EB4A45">
        <w:rPr>
          <w:color w:val="000000"/>
        </w:rPr>
        <w:tab/>
        <w:t>Contracts offered by Servicemembers</w:t>
      </w:r>
      <w:r w:rsidR="00E31747">
        <w:rPr>
          <w:color w:val="000000"/>
        </w:rPr>
        <w:t>'</w:t>
      </w:r>
      <w:r w:rsidRPr="00EB4A45">
        <w:rPr>
          <w:color w:val="000000"/>
        </w:rPr>
        <w:t xml:space="preserve"> Group Life Insurance (SGLI) or Veterans</w:t>
      </w:r>
      <w:r w:rsidR="00E31747">
        <w:rPr>
          <w:color w:val="000000"/>
        </w:rPr>
        <w:t>'</w:t>
      </w:r>
      <w:r w:rsidRPr="00EB4A45">
        <w:rPr>
          <w:color w:val="000000"/>
        </w:rPr>
        <w:t xml:space="preserve"> Group Life Insurance (VGLI), as authorized by 38 USC 1965 </w:t>
      </w:r>
      <w:r w:rsidRPr="0060237C">
        <w:rPr>
          <w:color w:val="000000"/>
        </w:rPr>
        <w:t>et seq.</w:t>
      </w:r>
      <w:r w:rsidRPr="00EB4A45">
        <w:rPr>
          <w:color w:val="000000"/>
        </w:rPr>
        <w:t xml:space="preserve">; </w:t>
      </w:r>
    </w:p>
    <w:p w:rsidR="00EB4A45" w:rsidRPr="00EB4A45" w:rsidRDefault="00EB4A45" w:rsidP="00EB4A45">
      <w:pPr>
        <w:rPr>
          <w:color w:val="000000"/>
          <w:u w:val="single"/>
        </w:rPr>
      </w:pPr>
    </w:p>
    <w:p w:rsidR="00EB4A45" w:rsidRPr="00EB4A45" w:rsidRDefault="00EB4A45" w:rsidP="00E31747">
      <w:pPr>
        <w:ind w:left="2160" w:hanging="720"/>
        <w:rPr>
          <w:color w:val="000000"/>
        </w:rPr>
      </w:pPr>
      <w:r w:rsidRPr="00EB4A45">
        <w:rPr>
          <w:color w:val="000000"/>
        </w:rPr>
        <w:t>6)</w:t>
      </w:r>
      <w:r w:rsidRPr="00EB4A45">
        <w:rPr>
          <w:color w:val="000000"/>
        </w:rPr>
        <w:tab/>
        <w:t xml:space="preserve">Life insurance contracts offered through or by a non-profit military association qualifying under </w:t>
      </w:r>
      <w:r w:rsidR="0060237C">
        <w:rPr>
          <w:color w:val="000000"/>
        </w:rPr>
        <w:t>s</w:t>
      </w:r>
      <w:r w:rsidRPr="00EB4A45">
        <w:rPr>
          <w:color w:val="000000"/>
        </w:rPr>
        <w:t>ection 501(c)(23) of the Internal Revenue Code (IRC)</w:t>
      </w:r>
      <w:r w:rsidR="00895C2E">
        <w:rPr>
          <w:color w:val="000000"/>
        </w:rPr>
        <w:t xml:space="preserve"> (26 USC 501</w:t>
      </w:r>
      <w:r w:rsidR="0060237C">
        <w:rPr>
          <w:color w:val="000000"/>
        </w:rPr>
        <w:t>(c)(23)</w:t>
      </w:r>
      <w:r w:rsidR="00895C2E">
        <w:rPr>
          <w:color w:val="000000"/>
        </w:rPr>
        <w:t>)</w:t>
      </w:r>
      <w:r w:rsidRPr="00EB4A45">
        <w:rPr>
          <w:color w:val="000000"/>
        </w:rPr>
        <w:t xml:space="preserve">, and </w:t>
      </w:r>
      <w:r w:rsidR="0060237C">
        <w:rPr>
          <w:color w:val="000000"/>
        </w:rPr>
        <w:t>that</w:t>
      </w:r>
      <w:r w:rsidRPr="00EB4A45">
        <w:rPr>
          <w:color w:val="000000"/>
        </w:rPr>
        <w:t xml:space="preserve"> are not underwritten by an insurer; or</w:t>
      </w:r>
    </w:p>
    <w:p w:rsidR="00EB4A45" w:rsidRPr="00EB4A45" w:rsidRDefault="00EB4A45" w:rsidP="00EB4A45">
      <w:pPr>
        <w:rPr>
          <w:color w:val="000000"/>
        </w:rPr>
      </w:pPr>
    </w:p>
    <w:p w:rsidR="00EB4A45" w:rsidRPr="00EB4A45" w:rsidRDefault="00EB4A45" w:rsidP="00E31747">
      <w:pPr>
        <w:ind w:left="720" w:firstLine="720"/>
        <w:rPr>
          <w:color w:val="000000"/>
        </w:rPr>
      </w:pPr>
      <w:r w:rsidRPr="00EB4A45">
        <w:rPr>
          <w:color w:val="000000"/>
        </w:rPr>
        <w:t>7)</w:t>
      </w:r>
      <w:r w:rsidRPr="00EB4A45">
        <w:rPr>
          <w:color w:val="000000"/>
        </w:rPr>
        <w:tab/>
        <w:t xml:space="preserve">Contracts used to fund: </w:t>
      </w:r>
    </w:p>
    <w:p w:rsidR="00E31747" w:rsidRDefault="00E31747" w:rsidP="00EB4A45">
      <w:pPr>
        <w:rPr>
          <w:color w:val="000000"/>
        </w:rPr>
      </w:pPr>
    </w:p>
    <w:p w:rsidR="00EB4A45" w:rsidRPr="00EB4A45" w:rsidRDefault="00EB4A45" w:rsidP="00E31747">
      <w:pPr>
        <w:ind w:left="2880" w:hanging="720"/>
        <w:rPr>
          <w:color w:val="000000"/>
        </w:rPr>
      </w:pPr>
      <w:r w:rsidRPr="00EB4A45">
        <w:rPr>
          <w:color w:val="000000"/>
        </w:rPr>
        <w:t>A)</w:t>
      </w:r>
      <w:r w:rsidRPr="00EB4A45">
        <w:rPr>
          <w:color w:val="000000"/>
        </w:rPr>
        <w:tab/>
        <w:t xml:space="preserve">An employee pension or welfare benefit plan that is covered by the Employee Retirement and Income Security Act (ERISA); </w:t>
      </w:r>
    </w:p>
    <w:p w:rsidR="00E31747" w:rsidRDefault="00E31747" w:rsidP="00EB4A45">
      <w:pPr>
        <w:rPr>
          <w:color w:val="000000"/>
        </w:rPr>
      </w:pPr>
    </w:p>
    <w:p w:rsidR="00EB4A45" w:rsidRPr="00EB4A45" w:rsidRDefault="00EB4A45" w:rsidP="00E31747">
      <w:pPr>
        <w:ind w:left="2880" w:hanging="720"/>
        <w:rPr>
          <w:color w:val="000000"/>
        </w:rPr>
      </w:pPr>
      <w:r w:rsidRPr="00EB4A45">
        <w:rPr>
          <w:color w:val="000000"/>
        </w:rPr>
        <w:t>B)</w:t>
      </w:r>
      <w:r w:rsidRPr="00EB4A45">
        <w:rPr>
          <w:color w:val="000000"/>
        </w:rPr>
        <w:tab/>
        <w:t xml:space="preserve">A plan described by </w:t>
      </w:r>
      <w:r w:rsidR="0060237C">
        <w:rPr>
          <w:color w:val="000000"/>
        </w:rPr>
        <w:t>s</w:t>
      </w:r>
      <w:r w:rsidRPr="00EB4A45">
        <w:rPr>
          <w:color w:val="000000"/>
        </w:rPr>
        <w:t xml:space="preserve">ections 401(a), 401(k), 403(b), 408(k) or 408(p) of the IRC, as amended, if established or maintained by an employer; </w:t>
      </w:r>
    </w:p>
    <w:p w:rsidR="00E31747" w:rsidRDefault="00E31747" w:rsidP="00EB4A45">
      <w:pPr>
        <w:rPr>
          <w:color w:val="000000"/>
        </w:rPr>
      </w:pPr>
    </w:p>
    <w:p w:rsidR="00EB4A45" w:rsidRPr="00EB4A45" w:rsidRDefault="00EB4A45" w:rsidP="00E31747">
      <w:pPr>
        <w:ind w:left="2880" w:hanging="720"/>
        <w:rPr>
          <w:color w:val="000000"/>
        </w:rPr>
      </w:pPr>
      <w:r w:rsidRPr="00EB4A45">
        <w:rPr>
          <w:color w:val="000000"/>
        </w:rPr>
        <w:t>C)</w:t>
      </w:r>
      <w:r w:rsidRPr="00EB4A45">
        <w:rPr>
          <w:color w:val="000000"/>
        </w:rPr>
        <w:tab/>
        <w:t xml:space="preserve">A government or church plan defined in </w:t>
      </w:r>
      <w:r w:rsidR="0060237C">
        <w:rPr>
          <w:color w:val="000000"/>
        </w:rPr>
        <w:t>s</w:t>
      </w:r>
      <w:r w:rsidRPr="00EB4A45">
        <w:rPr>
          <w:color w:val="000000"/>
        </w:rPr>
        <w:t xml:space="preserve">ection 414 of the IRC, a government or church welfare benefit plan, or a deferred compensation plan of a state or local government or tax exempt organization under </w:t>
      </w:r>
      <w:r w:rsidR="0060237C">
        <w:rPr>
          <w:color w:val="000000"/>
        </w:rPr>
        <w:t>s</w:t>
      </w:r>
      <w:r w:rsidRPr="00EB4A45">
        <w:rPr>
          <w:color w:val="000000"/>
        </w:rPr>
        <w:t xml:space="preserve">ection 457 of the IRC; </w:t>
      </w:r>
    </w:p>
    <w:p w:rsidR="00E31747" w:rsidRDefault="00E31747" w:rsidP="00EB4A45">
      <w:pPr>
        <w:rPr>
          <w:color w:val="000000"/>
        </w:rPr>
      </w:pPr>
    </w:p>
    <w:p w:rsidR="00EB4A45" w:rsidRPr="00EB4A45" w:rsidRDefault="00EB4A45" w:rsidP="00E31747">
      <w:pPr>
        <w:ind w:left="2880" w:hanging="720"/>
        <w:rPr>
          <w:color w:val="000000"/>
        </w:rPr>
      </w:pPr>
      <w:r w:rsidRPr="00EB4A45">
        <w:rPr>
          <w:color w:val="000000"/>
        </w:rPr>
        <w:t>D)</w:t>
      </w:r>
      <w:r w:rsidRPr="00EB4A45">
        <w:rPr>
          <w:color w:val="000000"/>
        </w:rPr>
        <w:tab/>
        <w:t xml:space="preserve">A nonqualified deferred compensation arrangement established or maintained by an employer or plan sponsor; </w:t>
      </w:r>
    </w:p>
    <w:p w:rsidR="00E31747" w:rsidRDefault="00E31747" w:rsidP="00EB4A45">
      <w:pPr>
        <w:rPr>
          <w:color w:val="000000"/>
        </w:rPr>
      </w:pPr>
    </w:p>
    <w:p w:rsidR="00EB4A45" w:rsidRPr="00EB4A45" w:rsidRDefault="00EB4A45" w:rsidP="00E31747">
      <w:pPr>
        <w:ind w:left="2880" w:hanging="720"/>
        <w:rPr>
          <w:color w:val="000000"/>
        </w:rPr>
      </w:pPr>
      <w:r w:rsidRPr="00EB4A45">
        <w:rPr>
          <w:color w:val="000000"/>
        </w:rPr>
        <w:t>E)</w:t>
      </w:r>
      <w:r w:rsidRPr="00EB4A45">
        <w:rPr>
          <w:color w:val="000000"/>
        </w:rPr>
        <w:tab/>
        <w:t>Settlements of or assumptions of liabilities associated with personal injury litigation or any dispute or claim resolution process; or</w:t>
      </w:r>
    </w:p>
    <w:p w:rsidR="00E31747" w:rsidRDefault="00E31747" w:rsidP="00EB4A45">
      <w:pPr>
        <w:rPr>
          <w:color w:val="000000"/>
        </w:rPr>
      </w:pPr>
    </w:p>
    <w:p w:rsidR="00EB4A45" w:rsidRPr="00EB4A45" w:rsidRDefault="00EB4A45" w:rsidP="00E31747">
      <w:pPr>
        <w:ind w:left="1440" w:firstLine="720"/>
        <w:rPr>
          <w:color w:val="000000"/>
        </w:rPr>
      </w:pPr>
      <w:r w:rsidRPr="00EB4A45">
        <w:rPr>
          <w:color w:val="000000"/>
        </w:rPr>
        <w:t>F)</w:t>
      </w:r>
      <w:r w:rsidRPr="00EB4A45">
        <w:rPr>
          <w:color w:val="000000"/>
        </w:rPr>
        <w:tab/>
        <w:t>Prearranged funeral contracts.</w:t>
      </w:r>
    </w:p>
    <w:p w:rsidR="00EB4A45" w:rsidRPr="00EB4A45" w:rsidRDefault="00EB4A45" w:rsidP="00EB4A45">
      <w:pPr>
        <w:rPr>
          <w:color w:val="000000"/>
        </w:rPr>
      </w:pPr>
    </w:p>
    <w:p w:rsidR="00EB4A45" w:rsidRPr="00EB4A45" w:rsidRDefault="00EB4A45" w:rsidP="00E31747">
      <w:pPr>
        <w:ind w:left="1440" w:hanging="720"/>
        <w:rPr>
          <w:smallCaps/>
          <w:color w:val="000000"/>
        </w:rPr>
      </w:pPr>
      <w:r w:rsidRPr="00EB4A45">
        <w:rPr>
          <w:color w:val="000000"/>
        </w:rPr>
        <w:t>b)</w:t>
      </w:r>
      <w:r w:rsidRPr="00EB4A45">
        <w:rPr>
          <w:color w:val="000000"/>
        </w:rPr>
        <w:tab/>
        <w:t xml:space="preserve">Nothing </w:t>
      </w:r>
      <w:r w:rsidR="0060237C">
        <w:rPr>
          <w:color w:val="000000"/>
        </w:rPr>
        <w:t>in this Section</w:t>
      </w:r>
      <w:r w:rsidRPr="00EB4A45">
        <w:rPr>
          <w:color w:val="000000"/>
        </w:rPr>
        <w:t xml:space="preserve"> shall be construed to abrogate the ability of nonprofit organizations (and/or other organizations) to educate members of the United States Armed Forces in accordance with Department of Defense DoD Instruction 1344.07 </w:t>
      </w:r>
      <w:r w:rsidR="0060237C">
        <w:rPr>
          <w:color w:val="000000"/>
        </w:rPr>
        <w:t xml:space="preserve">− </w:t>
      </w:r>
      <w:r w:rsidRPr="0060237C">
        <w:t>Personal Commercial Solicitation on DoD Installations</w:t>
      </w:r>
      <w:r w:rsidRPr="00EB4A45">
        <w:rPr>
          <w:smallCaps/>
          <w:color w:val="000000"/>
        </w:rPr>
        <w:t xml:space="preserve"> </w:t>
      </w:r>
      <w:r w:rsidRPr="00EB4A45">
        <w:rPr>
          <w:color w:val="000000"/>
        </w:rPr>
        <w:t>or successor directive</w:t>
      </w:r>
      <w:r w:rsidRPr="00EB4A45">
        <w:rPr>
          <w:smallCaps/>
          <w:color w:val="000000"/>
        </w:rPr>
        <w:t>.</w:t>
      </w:r>
    </w:p>
    <w:p w:rsidR="00EB4A45" w:rsidRPr="00EB4A45" w:rsidRDefault="00EB4A45" w:rsidP="00EB4A45">
      <w:pPr>
        <w:rPr>
          <w:smallCaps/>
          <w:color w:val="000000"/>
        </w:rPr>
      </w:pPr>
    </w:p>
    <w:p w:rsidR="00EB4A45" w:rsidRPr="00EB4A45" w:rsidRDefault="00E31747" w:rsidP="00E31747">
      <w:pPr>
        <w:ind w:left="1440" w:hanging="720"/>
        <w:rPr>
          <w:color w:val="000000"/>
          <w:u w:val="single"/>
        </w:rPr>
      </w:pPr>
      <w:r w:rsidRPr="0060237C">
        <w:t>c</w:t>
      </w:r>
      <w:r w:rsidR="00EB4A45" w:rsidRPr="0060237C">
        <w:t>)</w:t>
      </w:r>
      <w:r w:rsidR="00EB4A45" w:rsidRPr="00EB4A45">
        <w:rPr>
          <w:smallCaps/>
          <w:color w:val="000000"/>
        </w:rPr>
        <w:tab/>
      </w:r>
      <w:r w:rsidR="00EB4A45" w:rsidRPr="00EB4A45">
        <w:rPr>
          <w:color w:val="000000"/>
        </w:rPr>
        <w:t>For purposes of this Part,</w:t>
      </w:r>
      <w:r w:rsidR="00EB4A45" w:rsidRPr="00EB4A45">
        <w:rPr>
          <w:smallCaps/>
          <w:color w:val="000000"/>
        </w:rPr>
        <w:t xml:space="preserve"> </w:t>
      </w:r>
      <w:r w:rsidR="00EB4A45" w:rsidRPr="00EB4A45">
        <w:rPr>
          <w:color w:val="000000"/>
        </w:rPr>
        <w:t xml:space="preserve">general advertisements, direct mail and internet marketing shall not constitute </w:t>
      </w:r>
      <w:r>
        <w:rPr>
          <w:color w:val="000000"/>
        </w:rPr>
        <w:t>"</w:t>
      </w:r>
      <w:r w:rsidR="00EB4A45" w:rsidRPr="00EB4A45">
        <w:rPr>
          <w:color w:val="000000"/>
        </w:rPr>
        <w:t>solicitation</w:t>
      </w:r>
      <w:r>
        <w:rPr>
          <w:color w:val="000000"/>
        </w:rPr>
        <w:t>"</w:t>
      </w:r>
      <w:r w:rsidR="0060237C">
        <w:rPr>
          <w:color w:val="000000"/>
        </w:rPr>
        <w:t>.</w:t>
      </w:r>
      <w:r w:rsidR="00EB4A45" w:rsidRPr="00EB4A45">
        <w:rPr>
          <w:color w:val="000000"/>
        </w:rPr>
        <w:t xml:space="preserve">  Telephone marketing shall not constitute "solicitation" provided the caller explicitly and conspicuously discloses that the product concerned is life insurance and makes no statements that avoid a clear and unequivocal statement that life insurance is the subject matter of the solicitation.  Provided</w:t>
      </w:r>
      <w:r w:rsidR="0060237C">
        <w:rPr>
          <w:color w:val="000000"/>
        </w:rPr>
        <w:t>,</w:t>
      </w:r>
      <w:r w:rsidR="00EB4A45" w:rsidRPr="00EB4A45">
        <w:rPr>
          <w:color w:val="000000"/>
        </w:rPr>
        <w:t xml:space="preserve"> however, nothing in this subsection shall be construed to exempt an insurer or insurance producer from this Part in any in-person, face-to-face meeting established as a result of the </w:t>
      </w:r>
      <w:r>
        <w:rPr>
          <w:color w:val="000000"/>
        </w:rPr>
        <w:t>"</w:t>
      </w:r>
      <w:r w:rsidR="00EB4A45" w:rsidRPr="00EB4A45">
        <w:rPr>
          <w:color w:val="000000"/>
        </w:rPr>
        <w:t>solicitation</w:t>
      </w:r>
      <w:r>
        <w:rPr>
          <w:color w:val="000000"/>
        </w:rPr>
        <w:t>"</w:t>
      </w:r>
      <w:r w:rsidR="00EB4A45" w:rsidRPr="00EB4A45">
        <w:rPr>
          <w:color w:val="000000"/>
        </w:rPr>
        <w:t xml:space="preserve"> exemptions identified in this subsection.</w:t>
      </w:r>
    </w:p>
    <w:sectPr w:rsidR="00EB4A45" w:rsidRPr="00EB4A45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BCD" w:rsidRDefault="00A22BCD">
      <w:r>
        <w:separator/>
      </w:r>
    </w:p>
  </w:endnote>
  <w:endnote w:type="continuationSeparator" w:id="0">
    <w:p w:rsidR="00A22BCD" w:rsidRDefault="00A2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BCD" w:rsidRDefault="00A22BCD">
      <w:r>
        <w:separator/>
      </w:r>
    </w:p>
  </w:footnote>
  <w:footnote w:type="continuationSeparator" w:id="0">
    <w:p w:rsidR="00A22BCD" w:rsidRDefault="00A22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A45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01A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4B99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C3138"/>
    <w:rsid w:val="005D35F3"/>
    <w:rsid w:val="005D6698"/>
    <w:rsid w:val="005E03A7"/>
    <w:rsid w:val="005E3D55"/>
    <w:rsid w:val="0060237C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5712"/>
    <w:rsid w:val="00796D0E"/>
    <w:rsid w:val="007A1867"/>
    <w:rsid w:val="007A7D79"/>
    <w:rsid w:val="007C4EE5"/>
    <w:rsid w:val="007D54C0"/>
    <w:rsid w:val="007E25D1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95C2E"/>
    <w:rsid w:val="00896C96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2BC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07118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1747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4A45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EB4A45"/>
    <w:pPr>
      <w:spacing w:after="120"/>
      <w:ind w:left="36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EB4A45"/>
    <w:pPr>
      <w:spacing w:after="120"/>
      <w:ind w:left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