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A7" w:rsidRDefault="004E40A7" w:rsidP="004E40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40A7" w:rsidRDefault="004E40A7" w:rsidP="004E40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2602.30  Scope</w:t>
      </w:r>
      <w:r>
        <w:t xml:space="preserve"> </w:t>
      </w:r>
    </w:p>
    <w:p w:rsidR="004E40A7" w:rsidRDefault="004E40A7" w:rsidP="004E40A7">
      <w:pPr>
        <w:widowControl w:val="0"/>
        <w:autoSpaceDE w:val="0"/>
        <w:autoSpaceDN w:val="0"/>
        <w:adjustRightInd w:val="0"/>
      </w:pPr>
    </w:p>
    <w:p w:rsidR="004E40A7" w:rsidRDefault="004E40A7" w:rsidP="004E40A7">
      <w:pPr>
        <w:widowControl w:val="0"/>
        <w:autoSpaceDE w:val="0"/>
        <w:autoSpaceDN w:val="0"/>
        <w:adjustRightInd w:val="0"/>
      </w:pPr>
      <w:r>
        <w:t xml:space="preserve">This Rule shall apply to all companies authorized to write the class or classes of business set forth in Clause b of Class 1 or Clause a of Class 2 of Section 4 (Ill. Rev. Stat. 1981, ch. 73, par. 616) of the Illinois Insurance Code as they apply to those specific clauses. </w:t>
      </w:r>
    </w:p>
    <w:sectPr w:rsidR="004E40A7" w:rsidSect="004E40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0A7"/>
    <w:rsid w:val="00072536"/>
    <w:rsid w:val="00456A3A"/>
    <w:rsid w:val="004E40A7"/>
    <w:rsid w:val="005C3366"/>
    <w:rsid w:val="00CE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2602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2602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