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76" w:rsidRPr="007C4C76" w:rsidRDefault="007C4C76" w:rsidP="007C4C76">
      <w:bookmarkStart w:id="0" w:name="_GoBack"/>
      <w:bookmarkEnd w:id="0"/>
      <w:r w:rsidRPr="007C4C76">
        <w:t>Section</w:t>
      </w:r>
    </w:p>
    <w:p w:rsidR="007C4C76" w:rsidRPr="007C4C76" w:rsidRDefault="007C4C76" w:rsidP="007C4C76">
      <w:r w:rsidRPr="007C4C76">
        <w:t>2410.10</w:t>
      </w:r>
      <w:r w:rsidRPr="007C4C76">
        <w:tab/>
        <w:t>Purpose</w:t>
      </w:r>
    </w:p>
    <w:p w:rsidR="007C4C76" w:rsidRPr="007C4C76" w:rsidRDefault="007C4C76" w:rsidP="007C4C76">
      <w:r w:rsidRPr="007C4C76">
        <w:t>2410.20</w:t>
      </w:r>
      <w:r w:rsidRPr="007C4C76">
        <w:tab/>
        <w:t>Applicability</w:t>
      </w:r>
    </w:p>
    <w:p w:rsidR="007C4C76" w:rsidRPr="007C4C76" w:rsidRDefault="007C4C76" w:rsidP="007C4C76">
      <w:r w:rsidRPr="007C4C76">
        <w:t>2410.30</w:t>
      </w:r>
      <w:r w:rsidRPr="007C4C76">
        <w:tab/>
      </w:r>
      <w:r w:rsidRPr="007C4C76">
        <w:rPr>
          <w:color w:val="000000"/>
        </w:rPr>
        <w:t xml:space="preserve">Exemption </w:t>
      </w:r>
    </w:p>
    <w:p w:rsidR="007C4C76" w:rsidRPr="007C4C76" w:rsidRDefault="007C4C76" w:rsidP="007C4C76">
      <w:r w:rsidRPr="007C4C76">
        <w:t>2410.40</w:t>
      </w:r>
      <w:r w:rsidRPr="007C4C76">
        <w:tab/>
        <w:t>Definitions</w:t>
      </w:r>
    </w:p>
    <w:p w:rsidR="007C4C76" w:rsidRPr="007C4C76" w:rsidRDefault="007C4C76" w:rsidP="007C4C76">
      <w:r w:rsidRPr="007C4C76">
        <w:t>2410.50</w:t>
      </w:r>
      <w:r w:rsidRPr="007C4C76">
        <w:tab/>
        <w:t xml:space="preserve">Initial Administrative Dissolution or Withdrawal Filing Requirements </w:t>
      </w:r>
    </w:p>
    <w:p w:rsidR="007C4C76" w:rsidRPr="007C4C76" w:rsidRDefault="007C4C76" w:rsidP="007C4C76">
      <w:r w:rsidRPr="007C4C76">
        <w:t>2410.60</w:t>
      </w:r>
      <w:r w:rsidRPr="007C4C76">
        <w:tab/>
        <w:t>Plan of Dissolution or Withdrawal of Statutory Deposit</w:t>
      </w:r>
    </w:p>
    <w:p w:rsidR="007C4C76" w:rsidRPr="007C4C76" w:rsidRDefault="007C4C76" w:rsidP="007C4C76">
      <w:r w:rsidRPr="007C4C76">
        <w:t>2410.70</w:t>
      </w:r>
      <w:r w:rsidRPr="007C4C76">
        <w:tab/>
        <w:t>Final Filing Requirements</w:t>
      </w:r>
    </w:p>
    <w:p w:rsidR="007C4C76" w:rsidRPr="007C4C76" w:rsidRDefault="00E97B01" w:rsidP="007C4C76">
      <w:r>
        <w:rPr>
          <w:color w:val="000000"/>
        </w:rPr>
        <w:t>2410.80</w:t>
      </w:r>
      <w:r>
        <w:rPr>
          <w:color w:val="000000"/>
        </w:rPr>
        <w:tab/>
      </w:r>
      <w:r w:rsidR="007C4C76" w:rsidRPr="007C4C76">
        <w:rPr>
          <w:color w:val="000000"/>
        </w:rPr>
        <w:t xml:space="preserve">Administrative Dissolution </w:t>
      </w:r>
    </w:p>
    <w:p w:rsidR="007C4C76" w:rsidRPr="007C4C76" w:rsidRDefault="007C4C76" w:rsidP="007C4C76"/>
    <w:sectPr w:rsidR="007C4C76" w:rsidRPr="007C4C7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1D38">
      <w:r>
        <w:separator/>
      </w:r>
    </w:p>
  </w:endnote>
  <w:endnote w:type="continuationSeparator" w:id="0">
    <w:p w:rsidR="00000000" w:rsidRDefault="0072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1D38">
      <w:r>
        <w:separator/>
      </w:r>
    </w:p>
  </w:footnote>
  <w:footnote w:type="continuationSeparator" w:id="0">
    <w:p w:rsidR="00000000" w:rsidRDefault="0072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6ACA"/>
    <w:multiLevelType w:val="multilevel"/>
    <w:tmpl w:val="251AA142"/>
    <w:lvl w:ilvl="0">
      <w:start w:val="2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1">
      <w:start w:val="8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num w:numId="1">
    <w:abstractNumId w:val="0"/>
    <w:lvlOverride w:ilvl="0">
      <w:startOverride w:val="2410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B21E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1D38"/>
    <w:rsid w:val="00780733"/>
    <w:rsid w:val="007C14B2"/>
    <w:rsid w:val="007C4C76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97B01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C4C76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C4C76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