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24028" w14:textId="77777777" w:rsidR="00261BC3" w:rsidRDefault="00261BC3" w:rsidP="00B530CD"/>
    <w:p w14:paraId="36D40C9B" w14:textId="2C4439DA" w:rsidR="00B530CD" w:rsidRPr="00261BC3" w:rsidRDefault="00B530CD" w:rsidP="00B530CD">
      <w:pPr>
        <w:rPr>
          <w:b/>
        </w:rPr>
      </w:pPr>
      <w:r w:rsidRPr="00261BC3">
        <w:rPr>
          <w:b/>
        </w:rPr>
        <w:t xml:space="preserve">Section 2026.30 </w:t>
      </w:r>
      <w:r w:rsidR="00261BC3" w:rsidRPr="00261BC3">
        <w:rPr>
          <w:b/>
        </w:rPr>
        <w:t xml:space="preserve"> </w:t>
      </w:r>
      <w:r w:rsidR="000203CD">
        <w:rPr>
          <w:b/>
        </w:rPr>
        <w:t>Rates</w:t>
      </w:r>
      <w:r w:rsidRPr="00261BC3">
        <w:rPr>
          <w:b/>
        </w:rPr>
        <w:t xml:space="preserve"> </w:t>
      </w:r>
      <w:r w:rsidR="005B1A3E">
        <w:rPr>
          <w:b/>
        </w:rPr>
        <w:t>S</w:t>
      </w:r>
      <w:r w:rsidRPr="00261BC3">
        <w:rPr>
          <w:b/>
        </w:rPr>
        <w:t xml:space="preserve">ubject to </w:t>
      </w:r>
      <w:r w:rsidR="005B1A3E">
        <w:rPr>
          <w:b/>
        </w:rPr>
        <w:t>R</w:t>
      </w:r>
      <w:r w:rsidRPr="00261BC3">
        <w:rPr>
          <w:b/>
        </w:rPr>
        <w:t>eview</w:t>
      </w:r>
      <w:r w:rsidR="000203CD" w:rsidRPr="000203CD">
        <w:rPr>
          <w:b/>
        </w:rPr>
        <w:t xml:space="preserve"> </w:t>
      </w:r>
      <w:r w:rsidR="000203CD">
        <w:rPr>
          <w:b/>
        </w:rPr>
        <w:t>or Prior Approval</w:t>
      </w:r>
    </w:p>
    <w:p w14:paraId="7FF47A7C" w14:textId="77777777" w:rsidR="00261BC3" w:rsidRDefault="00261BC3" w:rsidP="00B530CD"/>
    <w:p w14:paraId="25E82B38" w14:textId="2C6A5506" w:rsidR="000203CD" w:rsidRDefault="000203CD" w:rsidP="000203CD">
      <w:pPr>
        <w:ind w:left="1440" w:hanging="720"/>
      </w:pPr>
      <w:r>
        <w:t>a)</w:t>
      </w:r>
      <w:r>
        <w:tab/>
        <w:t xml:space="preserve">All rates and classifications of risks in the individual or small group market, other than for grandfathered health plans, excepted benefits, </w:t>
      </w:r>
      <w:r w:rsidR="00251C17">
        <w:t xml:space="preserve">or </w:t>
      </w:r>
      <w:r>
        <w:t xml:space="preserve">student health insurance coverage, </w:t>
      </w:r>
      <w:r w:rsidR="00B530CD" w:rsidRPr="00B530CD">
        <w:t xml:space="preserve">on or after </w:t>
      </w:r>
      <w:r w:rsidR="009074DC">
        <w:t>January 1, 2014</w:t>
      </w:r>
      <w:r w:rsidR="00B530CD" w:rsidRPr="00B530CD">
        <w:t xml:space="preserve">, or effective on or after </w:t>
      </w:r>
      <w:r w:rsidR="009074DC">
        <w:t>January 1, 2014</w:t>
      </w:r>
      <w:r w:rsidRPr="000203CD">
        <w:t xml:space="preserve"> </w:t>
      </w:r>
      <w:r w:rsidRPr="00C614AA">
        <w:t>a</w:t>
      </w:r>
      <w:r w:rsidRPr="00C614AA">
        <w:rPr>
          <w:rStyle w:val="normaltextrun"/>
          <w:shd w:val="clear" w:color="auto" w:fill="FFFFFF"/>
        </w:rPr>
        <w:t>nd taking effect no later than December 31, 2025</w:t>
      </w:r>
      <w:r w:rsidR="005B1A3E">
        <w:t>,</w:t>
      </w:r>
      <w:r w:rsidR="00B530CD" w:rsidRPr="00B530CD">
        <w:t xml:space="preserve"> </w:t>
      </w:r>
      <w:r>
        <w:t>are</w:t>
      </w:r>
      <w:r w:rsidR="00B530CD" w:rsidRPr="00B530CD">
        <w:t xml:space="preserve"> subject to review </w:t>
      </w:r>
      <w:r>
        <w:t xml:space="preserve">under applicable law and Department rules, including, but not limited to, </w:t>
      </w:r>
      <w:r w:rsidR="00011C20">
        <w:t xml:space="preserve">50 Ill. Adm. Code </w:t>
      </w:r>
      <w:r>
        <w:t>916, as well as:</w:t>
      </w:r>
    </w:p>
    <w:p w14:paraId="5775B7DA" w14:textId="77777777" w:rsidR="000203CD" w:rsidRDefault="000203CD" w:rsidP="002B06C7"/>
    <w:p w14:paraId="5252A69D" w14:textId="0396B561" w:rsidR="000203CD" w:rsidRDefault="000203CD" w:rsidP="000203CD">
      <w:pPr>
        <w:ind w:left="2160" w:hanging="720"/>
      </w:pPr>
      <w:r>
        <w:t>1)</w:t>
      </w:r>
      <w:r>
        <w:tab/>
        <w:t>the public posting and public comment period described in Section 355(d) and (e) of the Code; and</w:t>
      </w:r>
    </w:p>
    <w:p w14:paraId="5042F341" w14:textId="337ADFBA" w:rsidR="000203CD" w:rsidRDefault="000203CD" w:rsidP="002B06C7"/>
    <w:p w14:paraId="610BE1A1" w14:textId="268E57EF" w:rsidR="00B530CD" w:rsidRPr="00B530CD" w:rsidRDefault="000203CD" w:rsidP="000203CD">
      <w:pPr>
        <w:ind w:left="2160" w:hanging="720"/>
      </w:pPr>
      <w:r>
        <w:t>2)</w:t>
      </w:r>
      <w:r>
        <w:tab/>
        <w:t>review for unreasonable rate increases through the implementation under Section 355 of the Code of an Effective Rate Review Program described in 45 CFR 154.301 (Apr</w:t>
      </w:r>
      <w:r w:rsidR="006002D4">
        <w:t>il</w:t>
      </w:r>
      <w:r>
        <w:t xml:space="preserve"> 17, 2018) (no later editions or amendments) </w:t>
      </w:r>
      <w:r w:rsidR="00B530CD" w:rsidRPr="00B530CD">
        <w:t>if:</w:t>
      </w:r>
    </w:p>
    <w:p w14:paraId="1FDBBDA0" w14:textId="77777777" w:rsidR="00261BC3" w:rsidRDefault="00261BC3" w:rsidP="00B530CD"/>
    <w:p w14:paraId="4C065853" w14:textId="027DC5A7" w:rsidR="00B530CD" w:rsidRPr="00B530CD" w:rsidRDefault="000203CD" w:rsidP="000203CD">
      <w:pPr>
        <w:ind w:left="2880" w:hanging="720"/>
      </w:pPr>
      <w:r>
        <w:t>A</w:t>
      </w:r>
      <w:r w:rsidR="00261BC3">
        <w:t>)</w:t>
      </w:r>
      <w:r w:rsidR="00261BC3">
        <w:tab/>
      </w:r>
      <w:r>
        <w:t>the</w:t>
      </w:r>
      <w:r w:rsidR="00B530CD" w:rsidRPr="00B530CD">
        <w:t xml:space="preserve"> rate </w:t>
      </w:r>
      <w:r>
        <w:t>represents a rate</w:t>
      </w:r>
      <w:r w:rsidRPr="00B530CD">
        <w:t xml:space="preserve"> </w:t>
      </w:r>
      <w:r w:rsidR="00B530CD" w:rsidRPr="00B530CD">
        <w:t xml:space="preserve">increase </w:t>
      </w:r>
      <w:r>
        <w:t>of</w:t>
      </w:r>
      <w:r w:rsidR="00B530CD" w:rsidRPr="00B530CD">
        <w:t xml:space="preserve"> 10 percent or more and </w:t>
      </w:r>
      <w:r>
        <w:t>applies</w:t>
      </w:r>
      <w:r w:rsidR="00B530CD" w:rsidRPr="00B530CD">
        <w:t xml:space="preserve"> to a 12-month period as calculated under </w:t>
      </w:r>
      <w:r w:rsidR="005B1A3E">
        <w:t>subsection</w:t>
      </w:r>
      <w:r w:rsidR="00B530CD" w:rsidRPr="00B530CD">
        <w:t xml:space="preserve"> </w:t>
      </w:r>
      <w:r>
        <w:t>(a)(2)(B)</w:t>
      </w:r>
      <w:r w:rsidR="005B1A3E">
        <w:t>.</w:t>
      </w:r>
    </w:p>
    <w:p w14:paraId="2A7740A5" w14:textId="77777777" w:rsidR="00261BC3" w:rsidRDefault="00261BC3" w:rsidP="002B06C7"/>
    <w:p w14:paraId="3BF7C146" w14:textId="5D5407F0" w:rsidR="00B530CD" w:rsidRPr="00B530CD" w:rsidRDefault="000203CD" w:rsidP="000203CD">
      <w:pPr>
        <w:ind w:left="2880" w:hanging="720"/>
      </w:pPr>
      <w:r>
        <w:t>B</w:t>
      </w:r>
      <w:r w:rsidR="00B530CD" w:rsidRPr="00B530CD">
        <w:t>)</w:t>
      </w:r>
      <w:r w:rsidR="00261BC3">
        <w:tab/>
      </w:r>
      <w:r w:rsidR="006002D4">
        <w:t>a</w:t>
      </w:r>
      <w:r w:rsidR="00B530CD" w:rsidRPr="00B530CD">
        <w:t xml:space="preserve"> rate increase meets or exceeds the applicable threshold set forth in </w:t>
      </w:r>
      <w:r w:rsidR="005B1A3E">
        <w:t>subsection</w:t>
      </w:r>
      <w:r w:rsidR="00B530CD" w:rsidRPr="00B530CD">
        <w:t xml:space="preserve"> (a)</w:t>
      </w:r>
      <w:r>
        <w:t>(2)(A)</w:t>
      </w:r>
      <w:r w:rsidR="00B530CD" w:rsidRPr="00B530CD">
        <w:t xml:space="preserve"> if the average increase for all enrollees weighted by premium volume meets or exceeds the applicable threshold.</w:t>
      </w:r>
    </w:p>
    <w:p w14:paraId="2ABE7146" w14:textId="77777777" w:rsidR="00261BC3" w:rsidRDefault="00261BC3" w:rsidP="002B06C7"/>
    <w:p w14:paraId="670C51E9" w14:textId="20B5C4FB" w:rsidR="00B530CD" w:rsidRDefault="000203CD" w:rsidP="000203CD">
      <w:pPr>
        <w:ind w:left="2880" w:hanging="720"/>
      </w:pPr>
      <w:r>
        <w:t>C</w:t>
      </w:r>
      <w:r w:rsidR="00B530CD" w:rsidRPr="00B530CD">
        <w:t>)</w:t>
      </w:r>
      <w:r w:rsidR="00261BC3">
        <w:tab/>
      </w:r>
      <w:r w:rsidR="006002D4">
        <w:t>if</w:t>
      </w:r>
      <w:r w:rsidR="00B530CD" w:rsidRPr="00B530CD">
        <w:t xml:space="preserve"> a rate increase that does not otherwise meet or exceed the threshold under </w:t>
      </w:r>
      <w:r w:rsidR="005B1A3E">
        <w:t>subsection</w:t>
      </w:r>
      <w:r w:rsidR="00B530CD" w:rsidRPr="00B530CD">
        <w:t xml:space="preserve"> </w:t>
      </w:r>
      <w:r>
        <w:t>(a)(2)(B)</w:t>
      </w:r>
      <w:r w:rsidR="00B530CD" w:rsidRPr="00B530CD">
        <w:t xml:space="preserve"> meets or exceeds the threshold when combined with a previous increase or increases during the 12-month period preceding the date on which the rate increase would become effective, then the rate increase must be considered to meet or exceed the threshold and is subject to review</w:t>
      </w:r>
      <w:r w:rsidR="005B1A3E">
        <w:t>.  The</w:t>
      </w:r>
      <w:r w:rsidR="00B530CD" w:rsidRPr="00B530CD">
        <w:t xml:space="preserve"> review shall include a review of the aggregate rate increases during the applicable 12-month period.</w:t>
      </w:r>
    </w:p>
    <w:p w14:paraId="735DF075" w14:textId="75DE9ACF" w:rsidR="000203CD" w:rsidRDefault="000203CD" w:rsidP="002B06C7"/>
    <w:p w14:paraId="485D29B0" w14:textId="064C835A" w:rsidR="000203CD" w:rsidRPr="000203CD" w:rsidRDefault="000203CD" w:rsidP="00C614AA">
      <w:pPr>
        <w:ind w:left="1440" w:hanging="720"/>
      </w:pPr>
      <w:r w:rsidRPr="000203CD">
        <w:t>b)</w:t>
      </w:r>
      <w:r w:rsidR="00C614AA">
        <w:tab/>
      </w:r>
      <w:r w:rsidRPr="000203CD">
        <w:t xml:space="preserve">All rates and classifications of risks effective on or after January 1, 2026 in the individual and small group markets, other than for grandfathered health plans, excepted benefits, </w:t>
      </w:r>
      <w:r w:rsidR="008B67FF">
        <w:t xml:space="preserve">or </w:t>
      </w:r>
      <w:r w:rsidRPr="000203CD">
        <w:t>student health insurance coverage, are subject to the Director</w:t>
      </w:r>
      <w:r>
        <w:t>'</w:t>
      </w:r>
      <w:r w:rsidRPr="000203CD">
        <w:t>s prior approval under the State</w:t>
      </w:r>
      <w:r>
        <w:t>'</w:t>
      </w:r>
      <w:r w:rsidRPr="000203CD">
        <w:t>s implementation of an Effective Rate Review Program described in 45 CFR 154.301 and State standards for inadequate rates</w:t>
      </w:r>
      <w:r w:rsidR="00011C20">
        <w:t xml:space="preserve"> in accordance with Section 355 of the Code</w:t>
      </w:r>
      <w:r w:rsidRPr="000203CD">
        <w:t>.</w:t>
      </w:r>
      <w:r w:rsidR="00251C17" w:rsidRPr="00251C17">
        <w:rPr>
          <w:color w:val="000000"/>
        </w:rPr>
        <w:t xml:space="preserve"> </w:t>
      </w:r>
      <w:r w:rsidR="00251C17">
        <w:rPr>
          <w:color w:val="000000"/>
        </w:rPr>
        <w:t>A health insurance issuer must submit the rates and all supporting documentation required under this Part by the</w:t>
      </w:r>
      <w:r w:rsidR="00251C17" w:rsidRPr="005543F9">
        <w:rPr>
          <w:color w:val="000000"/>
        </w:rPr>
        <w:t xml:space="preserve"> rate filing deadline set by the Department in annual guidance as described in Section 355(d) of the Code</w:t>
      </w:r>
      <w:r w:rsidR="00251C17">
        <w:rPr>
          <w:color w:val="000000"/>
        </w:rPr>
        <w:t>.</w:t>
      </w:r>
    </w:p>
    <w:p w14:paraId="39151E2E" w14:textId="77777777" w:rsidR="000203CD" w:rsidRPr="000203CD" w:rsidRDefault="000203CD" w:rsidP="002B06C7"/>
    <w:p w14:paraId="5AD17A15" w14:textId="110CC630" w:rsidR="00251C17" w:rsidRDefault="000203CD" w:rsidP="00C614AA">
      <w:pPr>
        <w:ind w:left="1440" w:hanging="720"/>
      </w:pPr>
      <w:r w:rsidRPr="000203CD">
        <w:t>c)</w:t>
      </w:r>
      <w:r w:rsidR="00C614AA">
        <w:tab/>
      </w:r>
      <w:r w:rsidR="00251C17" w:rsidRPr="00250971">
        <w:rPr>
          <w:i/>
          <w:iCs/>
          <w:color w:val="000000"/>
        </w:rPr>
        <w:t xml:space="preserve">For large group </w:t>
      </w:r>
      <w:r w:rsidR="00251C17">
        <w:rPr>
          <w:color w:val="000000"/>
        </w:rPr>
        <w:t xml:space="preserve">market </w:t>
      </w:r>
      <w:r w:rsidR="00251C17" w:rsidRPr="00250971">
        <w:rPr>
          <w:i/>
          <w:iCs/>
          <w:color w:val="000000"/>
        </w:rPr>
        <w:t>policies issued, delivered, amended, or renewed on or after January 1, 2026,</w:t>
      </w:r>
      <w:r w:rsidR="00251C17">
        <w:rPr>
          <w:color w:val="000000"/>
        </w:rPr>
        <w:t xml:space="preserve"> other than for grandfathered health plans or excepted </w:t>
      </w:r>
      <w:r w:rsidR="00251C17">
        <w:rPr>
          <w:color w:val="000000"/>
        </w:rPr>
        <w:lastRenderedPageBreak/>
        <w:t xml:space="preserve">benefits, </w:t>
      </w:r>
      <w:r w:rsidR="00251C17" w:rsidRPr="00250971">
        <w:rPr>
          <w:i/>
          <w:iCs/>
          <w:color w:val="000000"/>
        </w:rPr>
        <w:t xml:space="preserve">the premium rates and risk classifications, including any rate manuals and rules used to arrive at the rates, must be filed with the Department annually for </w:t>
      </w:r>
      <w:r w:rsidR="00251C17" w:rsidRPr="000D4EAE">
        <w:rPr>
          <w:color w:val="000000"/>
        </w:rPr>
        <w:t>prior</w:t>
      </w:r>
      <w:r w:rsidR="00251C17" w:rsidRPr="00250971">
        <w:rPr>
          <w:i/>
          <w:iCs/>
          <w:color w:val="000000"/>
        </w:rPr>
        <w:t xml:space="preserve"> approval at least 120 days before the rates are intended to take effect.</w:t>
      </w:r>
      <w:r w:rsidR="00251C17">
        <w:rPr>
          <w:color w:val="000000"/>
        </w:rPr>
        <w:t xml:space="preserve"> (Section 355(j) of the Code) </w:t>
      </w:r>
      <w:r w:rsidR="00251C17" w:rsidRPr="00643C9C">
        <w:rPr>
          <w:i/>
          <w:iCs/>
          <w:color w:val="000000"/>
        </w:rPr>
        <w:t xml:space="preserve">Nothing in this subsection </w:t>
      </w:r>
      <w:r w:rsidR="00251C17">
        <w:rPr>
          <w:i/>
          <w:iCs/>
          <w:color w:val="000000"/>
        </w:rPr>
        <w:t xml:space="preserve">requires a </w:t>
      </w:r>
      <w:r w:rsidR="00251C17">
        <w:rPr>
          <w:color w:val="000000"/>
        </w:rPr>
        <w:t xml:space="preserve">health insurance issuer </w:t>
      </w:r>
      <w:r w:rsidR="00251C17">
        <w:rPr>
          <w:i/>
          <w:iCs/>
          <w:color w:val="000000"/>
        </w:rPr>
        <w:t xml:space="preserve">to </w:t>
      </w:r>
      <w:r w:rsidR="00251C17" w:rsidRPr="00643C9C">
        <w:rPr>
          <w:i/>
          <w:iCs/>
          <w:color w:val="000000"/>
          <w:shd w:val="clear" w:color="auto" w:fill="FFFFFF"/>
        </w:rPr>
        <w:t xml:space="preserve">file a </w:t>
      </w:r>
      <w:proofErr w:type="gramStart"/>
      <w:r w:rsidR="00251C17" w:rsidRPr="00643C9C">
        <w:rPr>
          <w:i/>
          <w:iCs/>
          <w:color w:val="000000"/>
          <w:shd w:val="clear" w:color="auto" w:fill="FFFFFF"/>
        </w:rPr>
        <w:t>large group policy's final premium rates</w:t>
      </w:r>
      <w:proofErr w:type="gramEnd"/>
      <w:r w:rsidR="00251C17" w:rsidRPr="00643C9C">
        <w:rPr>
          <w:i/>
          <w:iCs/>
          <w:color w:val="000000"/>
          <w:shd w:val="clear" w:color="auto" w:fill="FFFFFF"/>
        </w:rPr>
        <w:t xml:space="preserve"> for prior approval if the </w:t>
      </w:r>
      <w:r w:rsidR="00251C17">
        <w:rPr>
          <w:color w:val="000000"/>
          <w:shd w:val="clear" w:color="auto" w:fill="FFFFFF"/>
        </w:rPr>
        <w:t>health insurance issuer</w:t>
      </w:r>
      <w:r w:rsidR="00251C17" w:rsidRPr="00643C9C">
        <w:rPr>
          <w:i/>
          <w:iCs/>
          <w:color w:val="000000"/>
          <w:shd w:val="clear" w:color="auto" w:fill="FFFFFF"/>
        </w:rPr>
        <w:t xml:space="preserve"> negotiates the final rates or rate adjustments with the plan sponsor or its administrator in accordance with the rate manual and rules of the currently approved rate filing for the policy.</w:t>
      </w:r>
      <w:r w:rsidR="00251C17" w:rsidRPr="00643C9C">
        <w:rPr>
          <w:color w:val="000000"/>
          <w:shd w:val="clear" w:color="auto" w:fill="FFFFFF"/>
        </w:rPr>
        <w:t xml:space="preserve"> (Section 355(j)</w:t>
      </w:r>
      <w:r w:rsidR="00251C17">
        <w:rPr>
          <w:color w:val="000000"/>
          <w:shd w:val="clear" w:color="auto" w:fill="FFFFFF"/>
        </w:rPr>
        <w:t>(4) of the Code</w:t>
      </w:r>
      <w:r w:rsidR="00251C17" w:rsidRPr="00643C9C">
        <w:rPr>
          <w:color w:val="000000"/>
          <w:shd w:val="clear" w:color="auto" w:fill="FFFFFF"/>
        </w:rPr>
        <w:t>)</w:t>
      </w:r>
      <w:r w:rsidR="00251C17">
        <w:rPr>
          <w:color w:val="000000"/>
          <w:shd w:val="clear" w:color="auto" w:fill="FFFFFF"/>
        </w:rPr>
        <w:t xml:space="preserve"> </w:t>
      </w:r>
    </w:p>
    <w:p w14:paraId="4D52E33F" w14:textId="77777777" w:rsidR="00251C17" w:rsidRDefault="00251C17" w:rsidP="00CC07EA"/>
    <w:p w14:paraId="7A338AFF" w14:textId="01AEDE1A" w:rsidR="000203CD" w:rsidRPr="000203CD" w:rsidRDefault="00251C17" w:rsidP="00C614AA">
      <w:pPr>
        <w:ind w:left="1440" w:hanging="720"/>
      </w:pPr>
      <w:r>
        <w:t>d)</w:t>
      </w:r>
      <w:r>
        <w:tab/>
      </w:r>
      <w:r w:rsidR="000203CD" w:rsidRPr="000203CD">
        <w:t>All rates</w:t>
      </w:r>
      <w:r>
        <w:t>,</w:t>
      </w:r>
      <w:r w:rsidR="000203CD" w:rsidRPr="000203CD">
        <w:t xml:space="preserve"> classifications of risks</w:t>
      </w:r>
      <w:r>
        <w:rPr>
          <w:color w:val="000000"/>
        </w:rPr>
        <w:t>, and rate-setting methodologies</w:t>
      </w:r>
      <w:r w:rsidR="000203CD" w:rsidRPr="000203CD">
        <w:t xml:space="preserve"> not described in subsections (a) </w:t>
      </w:r>
      <w:r>
        <w:rPr>
          <w:color w:val="000000"/>
        </w:rPr>
        <w:t>through (c)</w:t>
      </w:r>
      <w:r w:rsidR="000203CD" w:rsidRPr="000203CD">
        <w:t xml:space="preserve"> must be filed </w:t>
      </w:r>
      <w:r>
        <w:rPr>
          <w:color w:val="000000"/>
        </w:rPr>
        <w:t>prior to use</w:t>
      </w:r>
      <w:r w:rsidRPr="000203CD">
        <w:t xml:space="preserve"> </w:t>
      </w:r>
      <w:r w:rsidR="000203CD" w:rsidRPr="000203CD">
        <w:t>for the Director</w:t>
      </w:r>
      <w:r w:rsidR="000203CD">
        <w:t>'</w:t>
      </w:r>
      <w:r w:rsidR="000203CD" w:rsidRPr="000203CD">
        <w:t xml:space="preserve">s review under applicable law and Department rules, including, but not limited to, </w:t>
      </w:r>
      <w:r w:rsidR="00011C20">
        <w:t xml:space="preserve">50 Ill. Adm. Code </w:t>
      </w:r>
      <w:r w:rsidR="000203CD" w:rsidRPr="000203CD">
        <w:t>916. The rates and classifications of risks are not subject to the Director</w:t>
      </w:r>
      <w:r w:rsidR="000203CD">
        <w:t>'</w:t>
      </w:r>
      <w:r w:rsidR="000203CD" w:rsidRPr="000203CD">
        <w:t xml:space="preserve">s prior approval unless specifically provided by applicable law. </w:t>
      </w:r>
    </w:p>
    <w:p w14:paraId="266852FF" w14:textId="77777777" w:rsidR="000203CD" w:rsidRPr="000203CD" w:rsidRDefault="000203CD" w:rsidP="002B06C7"/>
    <w:p w14:paraId="0B44CBF1" w14:textId="2C8B3867" w:rsidR="000203CD" w:rsidRPr="000203CD" w:rsidRDefault="00251C17" w:rsidP="00C614AA">
      <w:pPr>
        <w:ind w:left="1440" w:hanging="720"/>
      </w:pPr>
      <w:r>
        <w:t>e</w:t>
      </w:r>
      <w:r w:rsidR="000203CD" w:rsidRPr="000203CD">
        <w:t>)</w:t>
      </w:r>
      <w:r w:rsidR="00C614AA">
        <w:tab/>
      </w:r>
      <w:r w:rsidR="000203CD" w:rsidRPr="000203CD">
        <w:t>For all rates described in subsection (a) or (b), and to the extent applicable to rate filings described in subsection (c)</w:t>
      </w:r>
      <w:r>
        <w:rPr>
          <w:color w:val="000000"/>
        </w:rPr>
        <w:t xml:space="preserve"> or (d)</w:t>
      </w:r>
      <w:r w:rsidR="000203CD" w:rsidRPr="000203CD">
        <w:t>:</w:t>
      </w:r>
    </w:p>
    <w:p w14:paraId="6950A514" w14:textId="77777777" w:rsidR="000203CD" w:rsidRPr="000203CD" w:rsidRDefault="000203CD" w:rsidP="002B06C7"/>
    <w:p w14:paraId="09550B75" w14:textId="73FFA0A8" w:rsidR="00251C17" w:rsidRDefault="000203CD" w:rsidP="00C614AA">
      <w:pPr>
        <w:ind w:left="2160" w:hanging="720"/>
      </w:pPr>
      <w:r w:rsidRPr="000203CD">
        <w:t>1)</w:t>
      </w:r>
      <w:r w:rsidR="00C614AA">
        <w:tab/>
      </w:r>
      <w:r w:rsidRPr="000203CD">
        <w:t xml:space="preserve">a rate sheet must be filed as a separate document </w:t>
      </w:r>
      <w:r w:rsidR="00251C17">
        <w:rPr>
          <w:color w:val="000000"/>
        </w:rPr>
        <w:t xml:space="preserve">and </w:t>
      </w:r>
      <w:r w:rsidR="00251C17" w:rsidRPr="005543F9">
        <w:rPr>
          <w:color w:val="000000"/>
        </w:rPr>
        <w:t>marked for public access in the System for Electronic Rates and Forms Filing (</w:t>
      </w:r>
      <w:proofErr w:type="spellStart"/>
      <w:r w:rsidR="00251C17" w:rsidRPr="005543F9">
        <w:rPr>
          <w:color w:val="000000"/>
        </w:rPr>
        <w:t>SERFF</w:t>
      </w:r>
      <w:proofErr w:type="spellEnd"/>
      <w:r w:rsidR="00251C17" w:rsidRPr="005543F9">
        <w:rPr>
          <w:color w:val="000000"/>
        </w:rPr>
        <w:t>)</w:t>
      </w:r>
      <w:r w:rsidR="00251C17">
        <w:rPr>
          <w:color w:val="000000"/>
        </w:rPr>
        <w:t xml:space="preserve">. For a rate filing described in subsection (c) or (d), this subsection </w:t>
      </w:r>
      <w:r w:rsidR="00735826">
        <w:rPr>
          <w:color w:val="000000"/>
        </w:rPr>
        <w:t xml:space="preserve">(e)(1) </w:t>
      </w:r>
      <w:r w:rsidR="00251C17">
        <w:rPr>
          <w:color w:val="000000"/>
        </w:rPr>
        <w:t xml:space="preserve">applies if, and only if, the issuer does not intend the final rate for the product, policy, or contract to be subject to negotiation with a group or blanket policyholder, and public access need not be marked in </w:t>
      </w:r>
      <w:proofErr w:type="spellStart"/>
      <w:r w:rsidR="00251C17">
        <w:rPr>
          <w:color w:val="000000"/>
        </w:rPr>
        <w:t>SERFF</w:t>
      </w:r>
      <w:proofErr w:type="spellEnd"/>
      <w:r w:rsidR="00251C17">
        <w:rPr>
          <w:color w:val="000000"/>
        </w:rPr>
        <w:t xml:space="preserve"> unless provided otherwise under law or regulation applicable to the specific product. A rate sheet filed under this subsection </w:t>
      </w:r>
      <w:r w:rsidR="00735826">
        <w:rPr>
          <w:color w:val="000000"/>
        </w:rPr>
        <w:t xml:space="preserve">(e)(1) </w:t>
      </w:r>
      <w:r w:rsidR="00251C17">
        <w:rPr>
          <w:color w:val="000000"/>
        </w:rPr>
        <w:t>must include</w:t>
      </w:r>
      <w:r w:rsidRPr="000203CD">
        <w:t xml:space="preserve"> either</w:t>
      </w:r>
      <w:r w:rsidR="00251C17">
        <w:t>:</w:t>
      </w:r>
    </w:p>
    <w:p w14:paraId="465B43C2" w14:textId="77777777" w:rsidR="00251C17" w:rsidRDefault="00251C17" w:rsidP="00CC07EA"/>
    <w:p w14:paraId="3F859D83" w14:textId="06D9BE41" w:rsidR="00251C17" w:rsidRDefault="00251C17" w:rsidP="00251C17">
      <w:pPr>
        <w:ind w:left="2880" w:hanging="720"/>
      </w:pPr>
      <w:r>
        <w:t>A)</w:t>
      </w:r>
      <w:r>
        <w:tab/>
      </w:r>
      <w:r w:rsidR="000203CD" w:rsidRPr="000203CD">
        <w:t>all finally proposed rates</w:t>
      </w:r>
      <w:r>
        <w:t>;</w:t>
      </w:r>
      <w:r w:rsidR="000203CD" w:rsidRPr="000203CD">
        <w:t xml:space="preserve"> or </w:t>
      </w:r>
    </w:p>
    <w:p w14:paraId="6DA19CCA" w14:textId="77777777" w:rsidR="00251C17" w:rsidRDefault="00251C17" w:rsidP="00CC07EA"/>
    <w:p w14:paraId="55D9E9E0" w14:textId="4F150CF1" w:rsidR="000203CD" w:rsidRPr="000203CD" w:rsidRDefault="00251C17" w:rsidP="00251C17">
      <w:pPr>
        <w:ind w:left="2880" w:hanging="720"/>
      </w:pPr>
      <w:r>
        <w:t>B)</w:t>
      </w:r>
      <w:r>
        <w:tab/>
      </w:r>
      <w:r w:rsidR="000203CD" w:rsidRPr="000203CD">
        <w:t>all finally proposed base rates and all factors used to calculate the final rates; and</w:t>
      </w:r>
    </w:p>
    <w:p w14:paraId="23EE08A6" w14:textId="77777777" w:rsidR="000203CD" w:rsidRPr="000203CD" w:rsidRDefault="000203CD" w:rsidP="002B06C7"/>
    <w:p w14:paraId="7DCE8CB6" w14:textId="567106CE" w:rsidR="000203CD" w:rsidRPr="000203CD" w:rsidRDefault="000203CD" w:rsidP="00C614AA">
      <w:pPr>
        <w:ind w:left="2160" w:hanging="720"/>
      </w:pPr>
      <w:r w:rsidRPr="000203CD">
        <w:t>2)</w:t>
      </w:r>
      <w:r w:rsidR="00C614AA">
        <w:tab/>
      </w:r>
      <w:r w:rsidRPr="000203CD">
        <w:t xml:space="preserve">the maximum, overall, and minimum rate changes, overall rate impact, written premium for the program, written premium change for the program, and number of affected policyholders must be specified in </w:t>
      </w:r>
      <w:proofErr w:type="spellStart"/>
      <w:r w:rsidRPr="000203CD">
        <w:t>SERFF</w:t>
      </w:r>
      <w:proofErr w:type="spellEnd"/>
      <w:r w:rsidRPr="000203CD">
        <w:t xml:space="preserve"> and marked for public access.</w:t>
      </w:r>
      <w:r w:rsidR="00251C17">
        <w:rPr>
          <w:color w:val="000000"/>
        </w:rPr>
        <w:t xml:space="preserve"> This subsection </w:t>
      </w:r>
      <w:r w:rsidR="00735826">
        <w:rPr>
          <w:color w:val="000000"/>
        </w:rPr>
        <w:t xml:space="preserve">(e)(2) </w:t>
      </w:r>
      <w:r w:rsidR="00251C17">
        <w:rPr>
          <w:color w:val="000000"/>
        </w:rPr>
        <w:t>applies to all rate filings.</w:t>
      </w:r>
    </w:p>
    <w:p w14:paraId="0399D430" w14:textId="77777777" w:rsidR="00C614AA" w:rsidRDefault="00C614AA" w:rsidP="000203CD"/>
    <w:p w14:paraId="77E5DD06" w14:textId="0EFC1316" w:rsidR="000203CD" w:rsidRPr="000203CD" w:rsidRDefault="00251C17" w:rsidP="00C614AA">
      <w:pPr>
        <w:ind w:firstLine="720"/>
      </w:pPr>
      <w:r w:rsidRPr="004E27CF">
        <w:t>(Source:  Amended at 4</w:t>
      </w:r>
      <w:r>
        <w:t>9</w:t>
      </w:r>
      <w:r w:rsidRPr="004E27CF">
        <w:t xml:space="preserve"> Ill. Reg. </w:t>
      </w:r>
      <w:r w:rsidR="00115F00">
        <w:t>11309</w:t>
      </w:r>
      <w:r w:rsidRPr="004E27CF">
        <w:t xml:space="preserve">, effective </w:t>
      </w:r>
      <w:r w:rsidR="00115F00">
        <w:t>August 28, 2025</w:t>
      </w:r>
      <w:r w:rsidRPr="004E27CF">
        <w:t>)</w:t>
      </w:r>
    </w:p>
    <w:sectPr w:rsidR="000203CD" w:rsidRPr="000203C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F6CCE" w14:textId="77777777" w:rsidR="00B530CD" w:rsidRDefault="00B530CD">
      <w:r>
        <w:separator/>
      </w:r>
    </w:p>
  </w:endnote>
  <w:endnote w:type="continuationSeparator" w:id="0">
    <w:p w14:paraId="7A6533E7" w14:textId="77777777" w:rsidR="00B530CD" w:rsidRDefault="00B5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F3C6C" w14:textId="77777777" w:rsidR="00B530CD" w:rsidRDefault="00B530CD">
      <w:r>
        <w:separator/>
      </w:r>
    </w:p>
  </w:footnote>
  <w:footnote w:type="continuationSeparator" w:id="0">
    <w:p w14:paraId="40975745" w14:textId="77777777" w:rsidR="00B530CD" w:rsidRDefault="00B53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8C528F"/>
    <w:multiLevelType w:val="hybridMultilevel"/>
    <w:tmpl w:val="E4923FD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0CD"/>
    <w:rsid w:val="00001F1D"/>
    <w:rsid w:val="00003CEF"/>
    <w:rsid w:val="00011A7D"/>
    <w:rsid w:val="00011C20"/>
    <w:rsid w:val="000122C7"/>
    <w:rsid w:val="000133BC"/>
    <w:rsid w:val="00014324"/>
    <w:rsid w:val="000158C8"/>
    <w:rsid w:val="00016F74"/>
    <w:rsid w:val="000174EB"/>
    <w:rsid w:val="000203CD"/>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4045"/>
    <w:rsid w:val="000F6AB6"/>
    <w:rsid w:val="000F6C6D"/>
    <w:rsid w:val="00103C24"/>
    <w:rsid w:val="00110A0B"/>
    <w:rsid w:val="00114190"/>
    <w:rsid w:val="00115F00"/>
    <w:rsid w:val="0012221A"/>
    <w:rsid w:val="00124BD7"/>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A7204"/>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1C17"/>
    <w:rsid w:val="002524EC"/>
    <w:rsid w:val="00261BC3"/>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06C7"/>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1A3E"/>
    <w:rsid w:val="005B2917"/>
    <w:rsid w:val="005C7438"/>
    <w:rsid w:val="005D35F3"/>
    <w:rsid w:val="005E03A7"/>
    <w:rsid w:val="005E3D55"/>
    <w:rsid w:val="005E5FC0"/>
    <w:rsid w:val="005F2891"/>
    <w:rsid w:val="006002D4"/>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5826"/>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7B7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67FF"/>
    <w:rsid w:val="008B77D8"/>
    <w:rsid w:val="008C1560"/>
    <w:rsid w:val="008C4FAF"/>
    <w:rsid w:val="008C5359"/>
    <w:rsid w:val="008D06A1"/>
    <w:rsid w:val="008D7182"/>
    <w:rsid w:val="008E68BC"/>
    <w:rsid w:val="008F2BEE"/>
    <w:rsid w:val="008F3E3B"/>
    <w:rsid w:val="009053C8"/>
    <w:rsid w:val="009074DC"/>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0CD"/>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14AA"/>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7EA"/>
    <w:rsid w:val="00CC13F9"/>
    <w:rsid w:val="00CC4FF8"/>
    <w:rsid w:val="00CC6797"/>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774EA"/>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ECE160"/>
  <w15:chartTrackingRefBased/>
  <w15:docId w15:val="{AE7EFDD1-9F6D-4410-9781-3157BB47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B530CD"/>
    <w:pPr>
      <w:spacing w:after="200" w:line="276" w:lineRule="auto"/>
      <w:ind w:left="720"/>
      <w:contextualSpacing/>
    </w:pPr>
    <w:rPr>
      <w:rFonts w:asciiTheme="minorHAnsi" w:eastAsiaTheme="minorHAnsi" w:hAnsiTheme="minorHAnsi" w:cstheme="minorBidi"/>
      <w:sz w:val="22"/>
      <w:szCs w:val="22"/>
    </w:rPr>
  </w:style>
  <w:style w:type="character" w:customStyle="1" w:styleId="normaltextrun">
    <w:name w:val="normaltextrun"/>
    <w:basedOn w:val="DefaultParagraphFont"/>
    <w:rsid w:val="000203CD"/>
  </w:style>
  <w:style w:type="character" w:customStyle="1" w:styleId="contextualspellingandgrammarerror">
    <w:name w:val="contextualspellingandgrammarerror"/>
    <w:basedOn w:val="DefaultParagraphFont"/>
    <w:rsid w:val="000203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4147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773</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4</cp:revision>
  <dcterms:created xsi:type="dcterms:W3CDTF">2025-08-20T19:15:00Z</dcterms:created>
  <dcterms:modified xsi:type="dcterms:W3CDTF">2025-09-12T13:10:00Z</dcterms:modified>
</cp:coreProperties>
</file>