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72" w:rsidRPr="00267872" w:rsidRDefault="00267872" w:rsidP="00267872">
      <w:pPr>
        <w:rPr>
          <w:sz w:val="24"/>
          <w:szCs w:val="24"/>
        </w:rPr>
      </w:pPr>
      <w:bookmarkStart w:id="0" w:name="_GoBack"/>
      <w:bookmarkEnd w:id="0"/>
    </w:p>
    <w:p w:rsidR="00267872" w:rsidRPr="00267872" w:rsidRDefault="00267872" w:rsidP="00267872">
      <w:pPr>
        <w:rPr>
          <w:b/>
          <w:sz w:val="24"/>
          <w:szCs w:val="24"/>
        </w:rPr>
      </w:pPr>
      <w:r w:rsidRPr="00267872">
        <w:rPr>
          <w:b/>
          <w:sz w:val="24"/>
          <w:szCs w:val="24"/>
        </w:rPr>
        <w:t>Section 2025.90  Certificates of Creditable Coverage</w:t>
      </w:r>
    </w:p>
    <w:p w:rsidR="00267872" w:rsidRPr="00267872" w:rsidRDefault="00267872" w:rsidP="00267872">
      <w:pPr>
        <w:rPr>
          <w:sz w:val="24"/>
          <w:szCs w:val="24"/>
        </w:rPr>
      </w:pPr>
    </w:p>
    <w:p w:rsidR="00267872" w:rsidRPr="00267872" w:rsidRDefault="00267872" w:rsidP="00267872">
      <w:pPr>
        <w:ind w:left="1440" w:hanging="720"/>
        <w:rPr>
          <w:sz w:val="24"/>
          <w:szCs w:val="24"/>
        </w:rPr>
      </w:pPr>
      <w:r w:rsidRPr="00267872">
        <w:rPr>
          <w:sz w:val="24"/>
          <w:szCs w:val="24"/>
        </w:rPr>
        <w:t>a)</w:t>
      </w:r>
      <w:r>
        <w:rPr>
          <w:sz w:val="24"/>
          <w:szCs w:val="24"/>
        </w:rPr>
        <w:tab/>
      </w:r>
      <w:r w:rsidRPr="00267872">
        <w:rPr>
          <w:sz w:val="24"/>
          <w:szCs w:val="24"/>
        </w:rPr>
        <w:t xml:space="preserve">A health insurance issuer shall issue a written certification, as required by Section 20(E) of the Act, </w:t>
      </w:r>
      <w:r w:rsidR="00584993">
        <w:rPr>
          <w:sz w:val="24"/>
          <w:szCs w:val="24"/>
        </w:rPr>
        <w:t xml:space="preserve">that </w:t>
      </w:r>
      <w:r w:rsidRPr="00267872">
        <w:rPr>
          <w:sz w:val="24"/>
          <w:szCs w:val="24"/>
        </w:rPr>
        <w:t>states:</w:t>
      </w:r>
    </w:p>
    <w:p w:rsidR="00267872" w:rsidRPr="00267872" w:rsidRDefault="00267872" w:rsidP="00267872">
      <w:pPr>
        <w:rPr>
          <w:sz w:val="24"/>
          <w:szCs w:val="24"/>
        </w:rPr>
      </w:pPr>
    </w:p>
    <w:p w:rsidR="00267872" w:rsidRPr="00267872" w:rsidRDefault="00267872" w:rsidP="00267872">
      <w:pPr>
        <w:ind w:left="2160" w:hanging="720"/>
        <w:rPr>
          <w:sz w:val="24"/>
          <w:szCs w:val="24"/>
        </w:rPr>
      </w:pPr>
      <w:r>
        <w:rPr>
          <w:sz w:val="24"/>
          <w:szCs w:val="24"/>
        </w:rPr>
        <w:t>1)</w:t>
      </w:r>
      <w:r>
        <w:rPr>
          <w:sz w:val="24"/>
          <w:szCs w:val="24"/>
        </w:rPr>
        <w:tab/>
      </w:r>
      <w:r w:rsidRPr="00267872">
        <w:rPr>
          <w:sz w:val="24"/>
          <w:szCs w:val="24"/>
        </w:rPr>
        <w:t>The period of creditable coverage of the individual</w:t>
      </w:r>
      <w:r w:rsidR="00D93F3F">
        <w:rPr>
          <w:sz w:val="24"/>
          <w:szCs w:val="24"/>
        </w:rPr>
        <w:t>,</w:t>
      </w:r>
      <w:r w:rsidRPr="00267872">
        <w:rPr>
          <w:sz w:val="24"/>
          <w:szCs w:val="24"/>
        </w:rPr>
        <w:t xml:space="preserve"> including the coverage (if any) under </w:t>
      </w:r>
      <w:r w:rsidR="00584993">
        <w:rPr>
          <w:sz w:val="24"/>
          <w:szCs w:val="24"/>
        </w:rPr>
        <w:t>the</w:t>
      </w:r>
      <w:r w:rsidRPr="00267872">
        <w:rPr>
          <w:sz w:val="24"/>
          <w:szCs w:val="24"/>
        </w:rPr>
        <w:t xml:space="preserve"> COBRA continuation provision; and</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t>2)</w:t>
      </w:r>
      <w:r>
        <w:rPr>
          <w:sz w:val="24"/>
          <w:szCs w:val="24"/>
        </w:rPr>
        <w:tab/>
      </w:r>
      <w:r w:rsidRPr="00267872">
        <w:rPr>
          <w:sz w:val="24"/>
          <w:szCs w:val="24"/>
        </w:rPr>
        <w:t>The waiting period (if any) (and affiliation period, if applicable) imposed with respect to the individual for any coverage.</w:t>
      </w:r>
    </w:p>
    <w:p w:rsidR="00267872" w:rsidRPr="00267872" w:rsidRDefault="00267872" w:rsidP="00267872">
      <w:pPr>
        <w:rPr>
          <w:sz w:val="24"/>
          <w:szCs w:val="24"/>
        </w:rPr>
      </w:pPr>
    </w:p>
    <w:p w:rsidR="009B6AAC" w:rsidRDefault="00267872" w:rsidP="00267872">
      <w:pPr>
        <w:ind w:left="1440" w:hanging="720"/>
        <w:rPr>
          <w:sz w:val="24"/>
          <w:szCs w:val="24"/>
        </w:rPr>
      </w:pPr>
      <w:r w:rsidRPr="00267872">
        <w:rPr>
          <w:sz w:val="24"/>
          <w:szCs w:val="24"/>
        </w:rPr>
        <w:t>b)</w:t>
      </w:r>
      <w:r>
        <w:rPr>
          <w:sz w:val="24"/>
          <w:szCs w:val="24"/>
        </w:rPr>
        <w:tab/>
      </w:r>
      <w:r w:rsidR="009B6AAC">
        <w:rPr>
          <w:sz w:val="24"/>
          <w:szCs w:val="24"/>
        </w:rPr>
        <w:t>Issuance of a Certificate</w:t>
      </w:r>
    </w:p>
    <w:p w:rsidR="009B6AAC" w:rsidRDefault="009B6AAC" w:rsidP="00267872">
      <w:pPr>
        <w:ind w:left="1440" w:hanging="720"/>
        <w:rPr>
          <w:sz w:val="24"/>
          <w:szCs w:val="24"/>
        </w:rPr>
      </w:pPr>
    </w:p>
    <w:p w:rsidR="00267872" w:rsidRPr="00267872" w:rsidRDefault="009B6AAC" w:rsidP="009B6AAC">
      <w:pPr>
        <w:ind w:left="2160" w:hanging="720"/>
        <w:rPr>
          <w:sz w:val="24"/>
          <w:szCs w:val="24"/>
        </w:rPr>
      </w:pPr>
      <w:r>
        <w:rPr>
          <w:sz w:val="24"/>
          <w:szCs w:val="24"/>
        </w:rPr>
        <w:t>1)</w:t>
      </w:r>
      <w:r>
        <w:rPr>
          <w:sz w:val="24"/>
          <w:szCs w:val="24"/>
        </w:rPr>
        <w:tab/>
      </w:r>
      <w:r w:rsidR="00267872" w:rsidRPr="00267872">
        <w:rPr>
          <w:sz w:val="24"/>
          <w:szCs w:val="24"/>
        </w:rPr>
        <w:t>The certification shall be issued by a health insurance issuer offering group health insurance coverage, in the following circumstances:</w:t>
      </w:r>
    </w:p>
    <w:p w:rsidR="00267872" w:rsidRPr="00267872" w:rsidRDefault="00267872" w:rsidP="00267872">
      <w:pPr>
        <w:rPr>
          <w:sz w:val="24"/>
          <w:szCs w:val="24"/>
        </w:rPr>
      </w:pPr>
    </w:p>
    <w:p w:rsidR="00267872" w:rsidRPr="00267872" w:rsidRDefault="009B6AAC" w:rsidP="009B6AAC">
      <w:pPr>
        <w:ind w:left="2880" w:hanging="720"/>
        <w:rPr>
          <w:sz w:val="24"/>
          <w:szCs w:val="24"/>
        </w:rPr>
      </w:pPr>
      <w:r>
        <w:rPr>
          <w:sz w:val="24"/>
          <w:szCs w:val="24"/>
        </w:rPr>
        <w:t>A</w:t>
      </w:r>
      <w:r w:rsidR="00267872" w:rsidRPr="00267872">
        <w:rPr>
          <w:sz w:val="24"/>
          <w:szCs w:val="24"/>
        </w:rPr>
        <w:t>)</w:t>
      </w:r>
      <w:r w:rsidR="00267872">
        <w:rPr>
          <w:sz w:val="24"/>
          <w:szCs w:val="24"/>
        </w:rPr>
        <w:tab/>
      </w:r>
      <w:r w:rsidR="00267872" w:rsidRPr="00267872">
        <w:rPr>
          <w:sz w:val="24"/>
          <w:szCs w:val="24"/>
        </w:rPr>
        <w:t>When an individual ceases to be covered or otherwise becomes covered under a COBRA continuation provision;</w:t>
      </w:r>
    </w:p>
    <w:p w:rsidR="00267872" w:rsidRPr="00267872" w:rsidRDefault="00267872" w:rsidP="00267872">
      <w:pPr>
        <w:rPr>
          <w:sz w:val="24"/>
          <w:szCs w:val="24"/>
        </w:rPr>
      </w:pPr>
    </w:p>
    <w:p w:rsidR="00267872" w:rsidRPr="00267872" w:rsidRDefault="009B6AAC" w:rsidP="009B6AAC">
      <w:pPr>
        <w:ind w:left="2880" w:hanging="720"/>
        <w:rPr>
          <w:sz w:val="24"/>
          <w:szCs w:val="24"/>
        </w:rPr>
      </w:pPr>
      <w:r>
        <w:rPr>
          <w:sz w:val="24"/>
          <w:szCs w:val="24"/>
        </w:rPr>
        <w:t>B</w:t>
      </w:r>
      <w:r w:rsidR="00267872" w:rsidRPr="00267872">
        <w:rPr>
          <w:sz w:val="24"/>
          <w:szCs w:val="24"/>
        </w:rPr>
        <w:t>)</w:t>
      </w:r>
      <w:r w:rsidR="00267872">
        <w:rPr>
          <w:sz w:val="24"/>
          <w:szCs w:val="24"/>
        </w:rPr>
        <w:tab/>
      </w:r>
      <w:r w:rsidR="00267872" w:rsidRPr="00267872">
        <w:rPr>
          <w:sz w:val="24"/>
          <w:szCs w:val="24"/>
        </w:rPr>
        <w:t>When an individual becomes covered under a</w:t>
      </w:r>
      <w:r w:rsidR="00584993">
        <w:rPr>
          <w:sz w:val="24"/>
          <w:szCs w:val="24"/>
        </w:rPr>
        <w:t xml:space="preserve"> COBRA </w:t>
      </w:r>
      <w:r w:rsidR="00AC5363">
        <w:rPr>
          <w:sz w:val="24"/>
          <w:szCs w:val="24"/>
        </w:rPr>
        <w:t>c</w:t>
      </w:r>
      <w:r w:rsidR="00584993">
        <w:rPr>
          <w:sz w:val="24"/>
          <w:szCs w:val="24"/>
        </w:rPr>
        <w:t>ontinuation</w:t>
      </w:r>
      <w:r w:rsidR="00267872" w:rsidRPr="00267872">
        <w:rPr>
          <w:sz w:val="24"/>
          <w:szCs w:val="24"/>
        </w:rPr>
        <w:t xml:space="preserve"> provision, at the time the individual ceases to be covered under </w:t>
      </w:r>
      <w:r w:rsidR="00584993">
        <w:rPr>
          <w:sz w:val="24"/>
          <w:szCs w:val="24"/>
        </w:rPr>
        <w:t xml:space="preserve">that </w:t>
      </w:r>
      <w:r w:rsidR="00267872" w:rsidRPr="00267872">
        <w:rPr>
          <w:sz w:val="24"/>
          <w:szCs w:val="24"/>
        </w:rPr>
        <w:t>provision; and</w:t>
      </w:r>
    </w:p>
    <w:p w:rsidR="00267872" w:rsidRPr="00267872" w:rsidRDefault="00267872" w:rsidP="00267872">
      <w:pPr>
        <w:rPr>
          <w:sz w:val="24"/>
          <w:szCs w:val="24"/>
        </w:rPr>
      </w:pPr>
    </w:p>
    <w:p w:rsidR="00267872" w:rsidRPr="00267872" w:rsidRDefault="009B6AAC" w:rsidP="009B6AAC">
      <w:pPr>
        <w:ind w:left="2880" w:hanging="720"/>
        <w:rPr>
          <w:sz w:val="24"/>
          <w:szCs w:val="24"/>
        </w:rPr>
      </w:pPr>
      <w:r>
        <w:rPr>
          <w:sz w:val="24"/>
          <w:szCs w:val="24"/>
        </w:rPr>
        <w:t>C</w:t>
      </w:r>
      <w:r w:rsidR="00267872" w:rsidRPr="00267872">
        <w:rPr>
          <w:sz w:val="24"/>
          <w:szCs w:val="24"/>
        </w:rPr>
        <w:t>)</w:t>
      </w:r>
      <w:r w:rsidR="00267872">
        <w:rPr>
          <w:sz w:val="24"/>
          <w:szCs w:val="24"/>
        </w:rPr>
        <w:tab/>
      </w:r>
      <w:r w:rsidR="00267872" w:rsidRPr="00267872">
        <w:rPr>
          <w:sz w:val="24"/>
          <w:szCs w:val="24"/>
        </w:rPr>
        <w:t>When a request is made on behalf of an individual, no later than 24 months after the date of cessation of the coverage described in subsection (b)(1) or (2), whichever is later.</w:t>
      </w:r>
    </w:p>
    <w:p w:rsidR="00267872" w:rsidRPr="00267872" w:rsidRDefault="00267872" w:rsidP="00267872">
      <w:pPr>
        <w:rPr>
          <w:sz w:val="24"/>
          <w:szCs w:val="24"/>
        </w:rPr>
      </w:pPr>
    </w:p>
    <w:p w:rsidR="00267872" w:rsidRPr="00267872" w:rsidRDefault="009B6AAC" w:rsidP="009B6AAC">
      <w:pPr>
        <w:ind w:left="2160" w:hanging="720"/>
        <w:rPr>
          <w:sz w:val="24"/>
          <w:szCs w:val="24"/>
        </w:rPr>
      </w:pPr>
      <w:r>
        <w:rPr>
          <w:sz w:val="24"/>
          <w:szCs w:val="24"/>
        </w:rPr>
        <w:t>2)</w:t>
      </w:r>
      <w:r w:rsidR="00267872">
        <w:rPr>
          <w:sz w:val="24"/>
          <w:szCs w:val="24"/>
        </w:rPr>
        <w:tab/>
      </w:r>
      <w:r w:rsidR="00267872" w:rsidRPr="00267872">
        <w:rPr>
          <w:sz w:val="24"/>
          <w:szCs w:val="24"/>
        </w:rPr>
        <w:t>The certification may be provided, to the extent practicable, consistent with notices required under any applicable COBRA continuation provision.</w:t>
      </w:r>
    </w:p>
    <w:p w:rsidR="00267872" w:rsidRPr="00267872" w:rsidRDefault="00267872" w:rsidP="00267872">
      <w:pPr>
        <w:rPr>
          <w:sz w:val="24"/>
          <w:szCs w:val="24"/>
        </w:rPr>
      </w:pPr>
    </w:p>
    <w:p w:rsidR="00267872" w:rsidRPr="00267872" w:rsidRDefault="00267872" w:rsidP="00267872">
      <w:pPr>
        <w:ind w:left="1440" w:hanging="720"/>
        <w:rPr>
          <w:sz w:val="24"/>
          <w:szCs w:val="24"/>
        </w:rPr>
      </w:pPr>
      <w:r w:rsidRPr="00267872">
        <w:rPr>
          <w:sz w:val="24"/>
          <w:szCs w:val="24"/>
        </w:rPr>
        <w:t>c)</w:t>
      </w:r>
      <w:r>
        <w:rPr>
          <w:sz w:val="24"/>
          <w:szCs w:val="24"/>
        </w:rPr>
        <w:tab/>
      </w:r>
      <w:r w:rsidRPr="00267872">
        <w:rPr>
          <w:sz w:val="24"/>
          <w:szCs w:val="24"/>
        </w:rPr>
        <w:t>Failure of a health insurance issuer to issue a certificate of creditable coverage, or the inability of an individual to produce a certificate of creditable coverage</w:t>
      </w:r>
      <w:r w:rsidR="009B6AAC">
        <w:rPr>
          <w:sz w:val="24"/>
          <w:szCs w:val="24"/>
        </w:rPr>
        <w:t>,</w:t>
      </w:r>
      <w:r w:rsidRPr="00267872">
        <w:rPr>
          <w:sz w:val="24"/>
          <w:szCs w:val="24"/>
        </w:rPr>
        <w:t xml:space="preserve"> shall not limit an individual from obtaining the rights and protections provided by the Act, as long as the individual can provide reasonable proof of prior creditable coverage under the following circumstances:</w:t>
      </w:r>
    </w:p>
    <w:p w:rsidR="00267872" w:rsidRPr="00267872" w:rsidRDefault="00267872" w:rsidP="00267872">
      <w:pPr>
        <w:rPr>
          <w:sz w:val="24"/>
          <w:szCs w:val="24"/>
        </w:rPr>
      </w:pPr>
    </w:p>
    <w:p w:rsidR="00267872" w:rsidRPr="00267872" w:rsidRDefault="00267872" w:rsidP="00267872">
      <w:pPr>
        <w:ind w:left="720" w:firstLine="720"/>
        <w:rPr>
          <w:sz w:val="24"/>
          <w:szCs w:val="24"/>
        </w:rPr>
      </w:pPr>
      <w:r w:rsidRPr="00267872">
        <w:rPr>
          <w:sz w:val="24"/>
          <w:szCs w:val="24"/>
        </w:rPr>
        <w:t>1)</w:t>
      </w:r>
      <w:r>
        <w:rPr>
          <w:sz w:val="24"/>
          <w:szCs w:val="24"/>
        </w:rPr>
        <w:tab/>
      </w:r>
      <w:r w:rsidRPr="00267872">
        <w:rPr>
          <w:sz w:val="24"/>
          <w:szCs w:val="24"/>
        </w:rPr>
        <w:t>An entity has failed to provide a certificate within the required time;</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t>2)</w:t>
      </w:r>
      <w:r>
        <w:rPr>
          <w:sz w:val="24"/>
          <w:szCs w:val="24"/>
        </w:rPr>
        <w:tab/>
      </w:r>
      <w:r w:rsidRPr="00267872">
        <w:rPr>
          <w:sz w:val="24"/>
          <w:szCs w:val="24"/>
        </w:rPr>
        <w:t>The individual has creditable coverage provided by an entity that is not required to provide a certificate of the coverage pursuant to the Act;</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t>3)</w:t>
      </w:r>
      <w:r>
        <w:rPr>
          <w:sz w:val="24"/>
          <w:szCs w:val="24"/>
        </w:rPr>
        <w:tab/>
      </w:r>
      <w:r w:rsidRPr="00267872">
        <w:rPr>
          <w:sz w:val="24"/>
          <w:szCs w:val="24"/>
        </w:rPr>
        <w:t>The individual has an urgent medical condition that necessitates a determination before the individual can deliver a certificate; or</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lastRenderedPageBreak/>
        <w:t>4)</w:t>
      </w:r>
      <w:r>
        <w:rPr>
          <w:sz w:val="24"/>
          <w:szCs w:val="24"/>
        </w:rPr>
        <w:tab/>
      </w:r>
      <w:r w:rsidRPr="00267872">
        <w:rPr>
          <w:sz w:val="24"/>
          <w:szCs w:val="24"/>
        </w:rPr>
        <w:t>The individual lost a certificate that the individual had previously received and is unable to obtain another certificate.</w:t>
      </w:r>
    </w:p>
    <w:p w:rsidR="00267872" w:rsidRPr="00267872" w:rsidRDefault="00267872" w:rsidP="00267872">
      <w:pPr>
        <w:rPr>
          <w:sz w:val="24"/>
          <w:szCs w:val="24"/>
        </w:rPr>
      </w:pPr>
    </w:p>
    <w:p w:rsidR="00267872" w:rsidRPr="00267872" w:rsidRDefault="00267872" w:rsidP="00267872">
      <w:pPr>
        <w:ind w:left="1440" w:hanging="720"/>
        <w:rPr>
          <w:sz w:val="24"/>
          <w:szCs w:val="24"/>
        </w:rPr>
      </w:pPr>
      <w:r w:rsidRPr="00267872">
        <w:rPr>
          <w:sz w:val="24"/>
          <w:szCs w:val="24"/>
        </w:rPr>
        <w:t>d)</w:t>
      </w:r>
      <w:r>
        <w:rPr>
          <w:sz w:val="24"/>
          <w:szCs w:val="24"/>
        </w:rPr>
        <w:tab/>
      </w:r>
      <w:r w:rsidRPr="00267872">
        <w:rPr>
          <w:sz w:val="24"/>
          <w:szCs w:val="24"/>
        </w:rPr>
        <w:t>A health insurance issuer shall treat the individual as having furnished a certificate of creditable coverage under subsection (a)</w:t>
      </w:r>
      <w:r w:rsidR="00584993">
        <w:rPr>
          <w:sz w:val="24"/>
          <w:szCs w:val="24"/>
        </w:rPr>
        <w:t xml:space="preserve"> of this Section</w:t>
      </w:r>
      <w:r w:rsidRPr="00267872">
        <w:rPr>
          <w:sz w:val="24"/>
          <w:szCs w:val="24"/>
        </w:rPr>
        <w:t xml:space="preserve"> if</w:t>
      </w:r>
      <w:r w:rsidR="009B6AAC">
        <w:rPr>
          <w:sz w:val="24"/>
          <w:szCs w:val="24"/>
        </w:rPr>
        <w:t>:</w:t>
      </w:r>
    </w:p>
    <w:p w:rsidR="00267872" w:rsidRPr="00267872" w:rsidRDefault="00267872" w:rsidP="00267872">
      <w:pPr>
        <w:rPr>
          <w:sz w:val="24"/>
          <w:szCs w:val="24"/>
        </w:rPr>
      </w:pPr>
    </w:p>
    <w:p w:rsidR="00267872" w:rsidRPr="00267872" w:rsidRDefault="00267872" w:rsidP="00267872">
      <w:pPr>
        <w:ind w:left="720" w:firstLine="720"/>
        <w:rPr>
          <w:sz w:val="24"/>
          <w:szCs w:val="24"/>
        </w:rPr>
      </w:pPr>
      <w:r w:rsidRPr="00267872">
        <w:rPr>
          <w:sz w:val="24"/>
          <w:szCs w:val="24"/>
        </w:rPr>
        <w:t>1)</w:t>
      </w:r>
      <w:r>
        <w:rPr>
          <w:sz w:val="24"/>
          <w:szCs w:val="24"/>
        </w:rPr>
        <w:tab/>
      </w:r>
      <w:r w:rsidRPr="00267872">
        <w:rPr>
          <w:sz w:val="24"/>
          <w:szCs w:val="24"/>
        </w:rPr>
        <w:t>The individual attests to the period of creditable coverage;</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t>2)</w:t>
      </w:r>
      <w:r>
        <w:rPr>
          <w:sz w:val="24"/>
          <w:szCs w:val="24"/>
        </w:rPr>
        <w:tab/>
      </w:r>
      <w:r w:rsidRPr="00267872">
        <w:rPr>
          <w:sz w:val="24"/>
          <w:szCs w:val="24"/>
        </w:rPr>
        <w:t xml:space="preserve">The individual also presents relevant corroborating evidence of some creditable coverage during the period. </w:t>
      </w:r>
      <w:r w:rsidR="0056412C">
        <w:rPr>
          <w:sz w:val="24"/>
          <w:szCs w:val="24"/>
        </w:rPr>
        <w:t xml:space="preserve"> </w:t>
      </w:r>
      <w:r w:rsidRPr="00267872">
        <w:rPr>
          <w:sz w:val="24"/>
          <w:szCs w:val="24"/>
        </w:rPr>
        <w:t>Relevant corroborating evidence may include, but is not limited to</w:t>
      </w:r>
      <w:r w:rsidR="009B6AAC">
        <w:rPr>
          <w:sz w:val="24"/>
          <w:szCs w:val="24"/>
        </w:rPr>
        <w:t>,</w:t>
      </w:r>
      <w:r w:rsidRPr="00267872">
        <w:rPr>
          <w:sz w:val="24"/>
          <w:szCs w:val="24"/>
        </w:rPr>
        <w:t xml:space="preserve"> the following:</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A)</w:t>
      </w:r>
      <w:r>
        <w:rPr>
          <w:sz w:val="24"/>
          <w:szCs w:val="24"/>
        </w:rPr>
        <w:tab/>
      </w:r>
      <w:r w:rsidRPr="00267872">
        <w:rPr>
          <w:sz w:val="24"/>
          <w:szCs w:val="24"/>
        </w:rPr>
        <w:t>Explanation of benefits claims;</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B)</w:t>
      </w:r>
      <w:r>
        <w:rPr>
          <w:sz w:val="24"/>
          <w:szCs w:val="24"/>
        </w:rPr>
        <w:tab/>
      </w:r>
      <w:r w:rsidRPr="00267872">
        <w:rPr>
          <w:sz w:val="24"/>
          <w:szCs w:val="24"/>
        </w:rPr>
        <w:t>Payroll stubs showing a payroll deduction for health coverage;</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C)</w:t>
      </w:r>
      <w:r>
        <w:rPr>
          <w:sz w:val="24"/>
          <w:szCs w:val="24"/>
        </w:rPr>
        <w:tab/>
      </w:r>
      <w:r w:rsidRPr="00267872">
        <w:rPr>
          <w:sz w:val="24"/>
          <w:szCs w:val="24"/>
        </w:rPr>
        <w:t>A health insurance identification card;</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D)</w:t>
      </w:r>
      <w:r>
        <w:rPr>
          <w:sz w:val="24"/>
          <w:szCs w:val="24"/>
        </w:rPr>
        <w:tab/>
      </w:r>
      <w:r w:rsidRPr="00267872">
        <w:rPr>
          <w:sz w:val="24"/>
          <w:szCs w:val="24"/>
        </w:rPr>
        <w:t>A certificate of coverage under a group health plan;</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E)</w:t>
      </w:r>
      <w:r>
        <w:rPr>
          <w:sz w:val="24"/>
          <w:szCs w:val="24"/>
        </w:rPr>
        <w:tab/>
      </w:r>
      <w:r w:rsidRPr="00267872">
        <w:rPr>
          <w:sz w:val="24"/>
          <w:szCs w:val="24"/>
        </w:rPr>
        <w:t>Records from medical care providers that indicate health coverage;</w:t>
      </w:r>
    </w:p>
    <w:p w:rsidR="00267872" w:rsidRPr="00267872" w:rsidRDefault="00267872" w:rsidP="00267872">
      <w:pPr>
        <w:rPr>
          <w:sz w:val="24"/>
          <w:szCs w:val="24"/>
        </w:rPr>
      </w:pPr>
    </w:p>
    <w:p w:rsidR="00267872" w:rsidRPr="00267872" w:rsidRDefault="00267872" w:rsidP="00267872">
      <w:pPr>
        <w:ind w:left="1440" w:firstLine="720"/>
        <w:rPr>
          <w:sz w:val="24"/>
          <w:szCs w:val="24"/>
        </w:rPr>
      </w:pPr>
      <w:r w:rsidRPr="00267872">
        <w:rPr>
          <w:sz w:val="24"/>
          <w:szCs w:val="24"/>
        </w:rPr>
        <w:t>F)</w:t>
      </w:r>
      <w:r>
        <w:rPr>
          <w:sz w:val="24"/>
          <w:szCs w:val="24"/>
        </w:rPr>
        <w:tab/>
      </w:r>
      <w:r w:rsidRPr="00267872">
        <w:rPr>
          <w:sz w:val="24"/>
          <w:szCs w:val="24"/>
        </w:rPr>
        <w:t>Third party statements verifying the period of coverage.</w:t>
      </w:r>
    </w:p>
    <w:p w:rsidR="00267872" w:rsidRPr="00267872" w:rsidRDefault="00267872" w:rsidP="00267872">
      <w:pPr>
        <w:rPr>
          <w:sz w:val="24"/>
          <w:szCs w:val="24"/>
        </w:rPr>
      </w:pPr>
    </w:p>
    <w:p w:rsidR="00267872" w:rsidRPr="00267872" w:rsidRDefault="00267872" w:rsidP="00267872">
      <w:pPr>
        <w:ind w:left="2160" w:hanging="720"/>
        <w:rPr>
          <w:sz w:val="24"/>
          <w:szCs w:val="24"/>
        </w:rPr>
      </w:pPr>
      <w:r w:rsidRPr="00267872">
        <w:rPr>
          <w:sz w:val="24"/>
          <w:szCs w:val="24"/>
        </w:rPr>
        <w:t>3)</w:t>
      </w:r>
      <w:r>
        <w:rPr>
          <w:sz w:val="24"/>
          <w:szCs w:val="24"/>
        </w:rPr>
        <w:tab/>
      </w:r>
      <w:r w:rsidRPr="00267872">
        <w:rPr>
          <w:sz w:val="24"/>
          <w:szCs w:val="24"/>
        </w:rPr>
        <w:t>The individual cooperates with the health insurance issuer's efforts to verify the individual's coverage.</w:t>
      </w:r>
    </w:p>
    <w:p w:rsidR="00267872" w:rsidRPr="00267872" w:rsidRDefault="00267872" w:rsidP="00267872">
      <w:pPr>
        <w:rPr>
          <w:sz w:val="24"/>
          <w:szCs w:val="24"/>
        </w:rPr>
      </w:pPr>
    </w:p>
    <w:p w:rsidR="00267872" w:rsidRPr="00267872" w:rsidRDefault="00267872">
      <w:pPr>
        <w:pStyle w:val="JCARSourceNote"/>
        <w:ind w:left="720"/>
        <w:rPr>
          <w:sz w:val="24"/>
          <w:szCs w:val="24"/>
        </w:rPr>
      </w:pPr>
      <w:r w:rsidRPr="00267872">
        <w:rPr>
          <w:sz w:val="24"/>
          <w:szCs w:val="24"/>
        </w:rPr>
        <w:t>(Source:  Added at 3</w:t>
      </w:r>
      <w:r>
        <w:rPr>
          <w:sz w:val="24"/>
          <w:szCs w:val="24"/>
        </w:rPr>
        <w:t>2</w:t>
      </w:r>
      <w:r w:rsidRPr="00267872">
        <w:rPr>
          <w:sz w:val="24"/>
          <w:szCs w:val="24"/>
        </w:rPr>
        <w:t xml:space="preserve"> Ill. Reg. </w:t>
      </w:r>
      <w:r w:rsidR="00BF5AA4">
        <w:rPr>
          <w:sz w:val="24"/>
          <w:szCs w:val="24"/>
        </w:rPr>
        <w:t>4732</w:t>
      </w:r>
      <w:r w:rsidRPr="00267872">
        <w:rPr>
          <w:sz w:val="24"/>
          <w:szCs w:val="24"/>
        </w:rPr>
        <w:t xml:space="preserve">, effective </w:t>
      </w:r>
      <w:r w:rsidR="00BF5AA4">
        <w:rPr>
          <w:sz w:val="24"/>
          <w:szCs w:val="24"/>
        </w:rPr>
        <w:t>March 24, 2008</w:t>
      </w:r>
      <w:r w:rsidRPr="00267872">
        <w:rPr>
          <w:sz w:val="24"/>
          <w:szCs w:val="24"/>
        </w:rPr>
        <w:t>)</w:t>
      </w:r>
    </w:p>
    <w:sectPr w:rsidR="00267872" w:rsidRPr="0026787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A7" w:rsidRDefault="00D009A7">
      <w:r>
        <w:separator/>
      </w:r>
    </w:p>
  </w:endnote>
  <w:endnote w:type="continuationSeparator" w:id="0">
    <w:p w:rsidR="00D009A7" w:rsidRDefault="00D0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A7" w:rsidRDefault="00D009A7">
      <w:r>
        <w:separator/>
      </w:r>
    </w:p>
  </w:footnote>
  <w:footnote w:type="continuationSeparator" w:id="0">
    <w:p w:rsidR="00D009A7" w:rsidRDefault="00D0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82176"/>
    <w:multiLevelType w:val="hybridMultilevel"/>
    <w:tmpl w:val="7EE0F2F0"/>
    <w:lvl w:ilvl="0" w:tplc="ED7C2D78">
      <w:start w:val="1"/>
      <w:numFmt w:val="decimal"/>
      <w:lvlText w:val="%1)"/>
      <w:lvlJc w:val="left"/>
      <w:pPr>
        <w:tabs>
          <w:tab w:val="num" w:pos="1801"/>
        </w:tabs>
        <w:ind w:left="1801" w:hanging="360"/>
      </w:pPr>
      <w:rPr>
        <w:rFonts w:hint="default"/>
        <w:u w:val="single"/>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0BC"/>
    <w:rsid w:val="00001F1D"/>
    <w:rsid w:val="00003CEF"/>
    <w:rsid w:val="00011A7D"/>
    <w:rsid w:val="000122C7"/>
    <w:rsid w:val="000158C8"/>
    <w:rsid w:val="00023902"/>
    <w:rsid w:val="00023DDC"/>
    <w:rsid w:val="00024942"/>
    <w:rsid w:val="00026C9D"/>
    <w:rsid w:val="00026F05"/>
    <w:rsid w:val="00030823"/>
    <w:rsid w:val="00031AC4"/>
    <w:rsid w:val="0003731C"/>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15A3"/>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872"/>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A60BC"/>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12C"/>
    <w:rsid w:val="0056501E"/>
    <w:rsid w:val="00571719"/>
    <w:rsid w:val="00571A8B"/>
    <w:rsid w:val="00573770"/>
    <w:rsid w:val="00576975"/>
    <w:rsid w:val="005777E6"/>
    <w:rsid w:val="00584993"/>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AAC"/>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5B79"/>
    <w:rsid w:val="00A809C5"/>
    <w:rsid w:val="00A86FF6"/>
    <w:rsid w:val="00A87EC5"/>
    <w:rsid w:val="00A94967"/>
    <w:rsid w:val="00A974E7"/>
    <w:rsid w:val="00A97CAE"/>
    <w:rsid w:val="00AA3143"/>
    <w:rsid w:val="00AA387B"/>
    <w:rsid w:val="00AA6F19"/>
    <w:rsid w:val="00AB12CF"/>
    <w:rsid w:val="00AB1466"/>
    <w:rsid w:val="00AC0DD5"/>
    <w:rsid w:val="00AC4914"/>
    <w:rsid w:val="00AC5363"/>
    <w:rsid w:val="00AC6F0C"/>
    <w:rsid w:val="00AC7225"/>
    <w:rsid w:val="00AD2A5F"/>
    <w:rsid w:val="00AE031A"/>
    <w:rsid w:val="00AE4C0C"/>
    <w:rsid w:val="00AE5547"/>
    <w:rsid w:val="00AE776A"/>
    <w:rsid w:val="00AF2883"/>
    <w:rsid w:val="00AF3304"/>
    <w:rsid w:val="00AF4757"/>
    <w:rsid w:val="00AF768C"/>
    <w:rsid w:val="00B01411"/>
    <w:rsid w:val="00B15414"/>
    <w:rsid w:val="00B17D78"/>
    <w:rsid w:val="00B23B52"/>
    <w:rsid w:val="00B2411F"/>
    <w:rsid w:val="00B34349"/>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4"/>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09A7"/>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49B0"/>
    <w:rsid w:val="00D876AB"/>
    <w:rsid w:val="00D93C67"/>
    <w:rsid w:val="00D93F3F"/>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0F8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72"/>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72"/>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2012-06-21T18:52:00Z</dcterms:created>
  <dcterms:modified xsi:type="dcterms:W3CDTF">2012-06-21T18:52:00Z</dcterms:modified>
</cp:coreProperties>
</file>