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185" w:rsidRDefault="00731185" w:rsidP="0077749E">
      <w:bookmarkStart w:id="0" w:name="_GoBack"/>
      <w:bookmarkEnd w:id="0"/>
    </w:p>
    <w:p w:rsidR="0077749E" w:rsidRPr="00731185" w:rsidRDefault="0077749E" w:rsidP="0077749E">
      <w:pPr>
        <w:rPr>
          <w:b/>
        </w:rPr>
      </w:pPr>
      <w:r w:rsidRPr="00731185">
        <w:rPr>
          <w:b/>
        </w:rPr>
        <w:t>Section 2025.80  Rescission in the Small Group Market</w:t>
      </w:r>
    </w:p>
    <w:p w:rsidR="0077749E" w:rsidRPr="0077749E" w:rsidRDefault="0077749E" w:rsidP="0077749E"/>
    <w:p w:rsidR="0077749E" w:rsidRPr="0077749E" w:rsidRDefault="005D0C39" w:rsidP="005D0C39">
      <w:pPr>
        <w:ind w:left="1440" w:hanging="699"/>
      </w:pPr>
      <w:r>
        <w:t>a)</w:t>
      </w:r>
      <w:r>
        <w:tab/>
      </w:r>
      <w:r w:rsidR="0077749E" w:rsidRPr="0077749E">
        <w:t>A health insurance issuer in the small group market may not rescind an individual</w:t>
      </w:r>
      <w:r w:rsidR="00731185">
        <w:t>'</w:t>
      </w:r>
      <w:r w:rsidR="0077749E" w:rsidRPr="0077749E">
        <w:t>s health insurance coverage based on health conditions.  The health insurance issuer may adjust the premium if a lower than appropriate premium resulted from the misrepresentation of health conditions, by either the employer or employee.  The premium may be adjusted to reflect the current rating for the group.</w:t>
      </w:r>
    </w:p>
    <w:p w:rsidR="0077749E" w:rsidRPr="0077749E" w:rsidRDefault="0077749E" w:rsidP="0077749E"/>
    <w:p w:rsidR="0077749E" w:rsidRPr="0077749E" w:rsidRDefault="005D0C39" w:rsidP="005D0C39">
      <w:pPr>
        <w:ind w:left="1440" w:hanging="699"/>
      </w:pPr>
      <w:r>
        <w:t>b)</w:t>
      </w:r>
      <w:r>
        <w:tab/>
      </w:r>
      <w:r w:rsidR="0077749E" w:rsidRPr="0077749E">
        <w:t>The health insurance issuer may rescind a small employer policy or employee certificate if fraud is proven in a court of law.</w:t>
      </w:r>
    </w:p>
    <w:sectPr w:rsidR="0077749E" w:rsidRPr="0077749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A2BAF">
      <w:r>
        <w:separator/>
      </w:r>
    </w:p>
  </w:endnote>
  <w:endnote w:type="continuationSeparator" w:id="0">
    <w:p w:rsidR="00000000" w:rsidRDefault="00AA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A2BAF">
      <w:r>
        <w:separator/>
      </w:r>
    </w:p>
  </w:footnote>
  <w:footnote w:type="continuationSeparator" w:id="0">
    <w:p w:rsidR="00000000" w:rsidRDefault="00AA2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D0C39"/>
    <w:rsid w:val="005F4571"/>
    <w:rsid w:val="006A2114"/>
    <w:rsid w:val="006D5961"/>
    <w:rsid w:val="00731185"/>
    <w:rsid w:val="0077749E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A2BAF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65052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77749E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77749E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