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5B" w:rsidRDefault="00B4655B" w:rsidP="00B465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55B" w:rsidRDefault="00B4655B" w:rsidP="00B4655B">
      <w:pPr>
        <w:widowControl w:val="0"/>
        <w:autoSpaceDE w:val="0"/>
        <w:autoSpaceDN w:val="0"/>
        <w:adjustRightInd w:val="0"/>
        <w:jc w:val="center"/>
      </w:pPr>
      <w:r>
        <w:t>PART 2019</w:t>
      </w:r>
    </w:p>
    <w:p w:rsidR="00B4655B" w:rsidRDefault="00B4655B" w:rsidP="00B4655B">
      <w:pPr>
        <w:widowControl w:val="0"/>
        <w:autoSpaceDE w:val="0"/>
        <w:autoSpaceDN w:val="0"/>
        <w:adjustRightInd w:val="0"/>
        <w:jc w:val="center"/>
      </w:pPr>
      <w:r>
        <w:t>MINIMUM BENEFIT STANDARDS FOR DIABETES COVERAGE</w:t>
      </w:r>
    </w:p>
    <w:sectPr w:rsidR="00B4655B" w:rsidSect="00B465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55B"/>
    <w:rsid w:val="002D2482"/>
    <w:rsid w:val="00311368"/>
    <w:rsid w:val="005C3366"/>
    <w:rsid w:val="0074632C"/>
    <w:rsid w:val="00B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2019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2019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