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05" w:rsidRDefault="002F4C83" w:rsidP="00B72B05">
      <w:pPr>
        <w:widowControl w:val="0"/>
        <w:autoSpaceDE w:val="0"/>
        <w:autoSpaceDN w:val="0"/>
        <w:adjustRightInd w:val="0"/>
      </w:pPr>
      <w:r>
        <w:br w:type="page"/>
      </w:r>
      <w:r w:rsidR="00B72B05">
        <w:rPr>
          <w:b/>
          <w:bCs/>
        </w:rPr>
        <w:lastRenderedPageBreak/>
        <w:t xml:space="preserve">Section 2012.EXHIBIT J </w:t>
      </w:r>
      <w:r w:rsidR="00B67C59">
        <w:rPr>
          <w:b/>
          <w:bCs/>
        </w:rPr>
        <w:t xml:space="preserve"> </w:t>
      </w:r>
      <w:r w:rsidR="00B72B05">
        <w:rPr>
          <w:b/>
          <w:bCs/>
        </w:rPr>
        <w:t xml:space="preserve"> Potential Rate Increase Disclosure</w:t>
      </w:r>
      <w:r w:rsidR="00B72B05">
        <w:t xml:space="preserve"> </w:t>
      </w:r>
    </w:p>
    <w:p w:rsidR="00B72B05" w:rsidRDefault="00B72B05" w:rsidP="00B72B05">
      <w:pPr>
        <w:widowControl w:val="0"/>
        <w:autoSpaceDE w:val="0"/>
        <w:autoSpaceDN w:val="0"/>
        <w:adjustRightInd w:val="0"/>
      </w:pPr>
    </w:p>
    <w:p w:rsidR="00C953B6" w:rsidRDefault="00C953B6" w:rsidP="00C953B6">
      <w:pPr>
        <w:widowControl w:val="0"/>
        <w:autoSpaceDE w:val="0"/>
        <w:autoSpaceDN w:val="0"/>
        <w:adjustRightInd w:val="0"/>
      </w:pPr>
      <w:r>
        <w:rPr>
          <w:b/>
          <w:bCs/>
        </w:rPr>
        <w:t>Instructions:</w:t>
      </w:r>
      <w:r>
        <w:t xml:space="preserv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This form provides information to the applicant regarding premium rate schedules, rate schedule adjustments, potential rate revisions, and policyholder options in the event of a rate increase.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rPr>
          <w:b/>
          <w:bCs/>
        </w:rPr>
        <w:t>Insurers shall provide all of the following information to the applicant:</w:t>
      </w:r>
      <w:r>
        <w:t xml:space="preserv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jc w:val="center"/>
      </w:pPr>
      <w:r>
        <w:rPr>
          <w:b/>
          <w:bCs/>
        </w:rPr>
        <w:t>Long-Term Care Insurance</w:t>
      </w:r>
    </w:p>
    <w:p w:rsidR="00C953B6" w:rsidRDefault="00C953B6" w:rsidP="00C953B6">
      <w:pPr>
        <w:widowControl w:val="0"/>
        <w:autoSpaceDE w:val="0"/>
        <w:autoSpaceDN w:val="0"/>
        <w:adjustRightInd w:val="0"/>
        <w:jc w:val="center"/>
      </w:pPr>
    </w:p>
    <w:p w:rsidR="00C953B6" w:rsidRDefault="00C953B6" w:rsidP="00C953B6">
      <w:pPr>
        <w:widowControl w:val="0"/>
        <w:autoSpaceDE w:val="0"/>
        <w:autoSpaceDN w:val="0"/>
        <w:adjustRightInd w:val="0"/>
        <w:jc w:val="center"/>
      </w:pPr>
      <w:r>
        <w:rPr>
          <w:b/>
          <w:bCs/>
        </w:rPr>
        <w:t>Potential Rate Increase Disclosure Form</w:t>
      </w:r>
    </w:p>
    <w:p w:rsidR="00C953B6" w:rsidRDefault="00C953B6" w:rsidP="00C953B6">
      <w:pPr>
        <w:widowControl w:val="0"/>
        <w:autoSpaceDE w:val="0"/>
        <w:autoSpaceDN w:val="0"/>
        <w:adjustRightInd w:val="0"/>
        <w:jc w:val="center"/>
      </w:pPr>
    </w:p>
    <w:p w:rsidR="00C953B6" w:rsidRDefault="00C953B6" w:rsidP="00C953B6">
      <w:pPr>
        <w:widowControl w:val="0"/>
        <w:autoSpaceDE w:val="0"/>
        <w:autoSpaceDN w:val="0"/>
        <w:adjustRightInd w:val="0"/>
      </w:pPr>
      <w:r>
        <w:t xml:space="preserve">1.  [Premium Rate] [Premium Rate Schedules]: </w:t>
      </w:r>
      <w:r w:rsidR="00B67C59">
        <w:t xml:space="preserve"> </w:t>
      </w:r>
      <w:r>
        <w:t>[Premium rate] [Premium rate schedules] that [is] [are] applicable to you and that will be in effect until a request is made and [filed] [approved] for an increase [is] [are] [on the application] [$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2.  The [premium] [premium rate schedule] for this policy [will be shown on the schedule page of] [will be attached to] your policy.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3.  Rate Schedule Adjustments:</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The company will provide a description of when premium rate or rate schedule adjustments will be effective (e.g., next anniversary date, next billing date, etc.) (</w:t>
      </w:r>
      <w:proofErr w:type="gramStart"/>
      <w:r>
        <w:t>fill</w:t>
      </w:r>
      <w:proofErr w:type="gramEnd"/>
      <w:r>
        <w:t xml:space="preserve"> in the blank): </w:t>
      </w:r>
    </w:p>
    <w:tbl>
      <w:tblPr>
        <w:tblW w:w="0" w:type="auto"/>
        <w:tblInd w:w="126" w:type="dxa"/>
        <w:tblBorders>
          <w:bottom w:val="single" w:sz="4" w:space="0" w:color="auto"/>
        </w:tblBorders>
        <w:tblLook w:val="0000" w:firstRow="0" w:lastRow="0" w:firstColumn="0" w:lastColumn="0" w:noHBand="0" w:noVBand="0"/>
      </w:tblPr>
      <w:tblGrid>
        <w:gridCol w:w="3722"/>
        <w:gridCol w:w="276"/>
      </w:tblGrid>
      <w:tr w:rsidR="00C953B6" w:rsidTr="00326E1D">
        <w:tc>
          <w:tcPr>
            <w:tcW w:w="3722" w:type="dxa"/>
            <w:tcMar>
              <w:left w:w="0" w:type="dxa"/>
              <w:right w:w="0" w:type="dxa"/>
            </w:tcMar>
          </w:tcPr>
          <w:p w:rsidR="00C953B6" w:rsidRDefault="00C953B6" w:rsidP="00326E1D">
            <w:pPr>
              <w:widowControl w:val="0"/>
              <w:autoSpaceDE w:val="0"/>
              <w:autoSpaceDN w:val="0"/>
              <w:adjustRightInd w:val="0"/>
            </w:pPr>
          </w:p>
        </w:tc>
        <w:tc>
          <w:tcPr>
            <w:tcW w:w="276" w:type="dxa"/>
            <w:tcMar>
              <w:left w:w="0" w:type="dxa"/>
              <w:right w:w="0" w:type="dxa"/>
            </w:tcMar>
          </w:tcPr>
          <w:p w:rsidR="00C953B6" w:rsidRDefault="00C953B6" w:rsidP="00326E1D">
            <w:pPr>
              <w:widowControl w:val="0"/>
              <w:autoSpaceDE w:val="0"/>
              <w:autoSpaceDN w:val="0"/>
              <w:adjustRightInd w:val="0"/>
            </w:pPr>
          </w:p>
        </w:tc>
      </w:tr>
      <w:tr w:rsidR="00C953B6" w:rsidTr="00326E1D">
        <w:tc>
          <w:tcPr>
            <w:tcW w:w="3722" w:type="dxa"/>
            <w:tcBorders>
              <w:bottom w:val="single" w:sz="4" w:space="0" w:color="auto"/>
            </w:tcBorders>
            <w:tcMar>
              <w:left w:w="0" w:type="dxa"/>
              <w:right w:w="0" w:type="dxa"/>
            </w:tcMar>
          </w:tcPr>
          <w:p w:rsidR="00C953B6" w:rsidRDefault="00C953B6" w:rsidP="00326E1D">
            <w:pPr>
              <w:widowControl w:val="0"/>
              <w:autoSpaceDE w:val="0"/>
              <w:autoSpaceDN w:val="0"/>
              <w:adjustRightInd w:val="0"/>
            </w:pPr>
          </w:p>
        </w:tc>
        <w:tc>
          <w:tcPr>
            <w:tcW w:w="276" w:type="dxa"/>
            <w:tcBorders>
              <w:bottom w:val="nil"/>
            </w:tcBorders>
            <w:tcMar>
              <w:left w:w="0" w:type="dxa"/>
              <w:right w:w="0" w:type="dxa"/>
            </w:tcMar>
          </w:tcPr>
          <w:p w:rsidR="00C953B6" w:rsidRDefault="00C953B6" w:rsidP="00326E1D">
            <w:pPr>
              <w:widowControl w:val="0"/>
              <w:autoSpaceDE w:val="0"/>
              <w:autoSpaceDN w:val="0"/>
              <w:adjustRightInd w:val="0"/>
            </w:pPr>
          </w:p>
        </w:tc>
      </w:tr>
    </w:tbl>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4.  Potential Rate Revisions:</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This policy is Guaranteed Renewable.  This means that the rates for this product may be increased in the future.  Your rates can NOT be increased due to your increasing age or declining health, but your rates may go up based on the experience of all policyholders with a policy similar to yours.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If you receive a premium rate or premium rate schedule increase in the future, you will be notified of the new premium amount and you will be able to exercise at least one of the following options: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ind w:left="1440" w:hanging="720"/>
      </w:pPr>
      <w:r>
        <w:rPr>
          <w:b/>
          <w:bCs/>
        </w:rPr>
        <w:sym w:font="Symbol" w:char="F0B7"/>
      </w:r>
      <w:r>
        <w:tab/>
        <w:t xml:space="preserve">Pay the increased premium and continue your policy in force as is. </w:t>
      </w:r>
    </w:p>
    <w:p w:rsidR="00C953B6" w:rsidRDefault="00C953B6" w:rsidP="00C953B6">
      <w:pPr>
        <w:widowControl w:val="0"/>
        <w:autoSpaceDE w:val="0"/>
        <w:autoSpaceDN w:val="0"/>
        <w:adjustRightInd w:val="0"/>
        <w:ind w:left="1440" w:hanging="720"/>
      </w:pPr>
      <w:r>
        <w:rPr>
          <w:b/>
          <w:bCs/>
        </w:rPr>
        <w:sym w:font="Symbol" w:char="F0B7"/>
      </w:r>
      <w:r>
        <w:tab/>
        <w:t xml:space="preserve">Reduce your policy benefits to a level such that your premiums will not increase. </w:t>
      </w:r>
    </w:p>
    <w:p w:rsidR="00C953B6" w:rsidRDefault="00C953B6" w:rsidP="00C953B6">
      <w:pPr>
        <w:widowControl w:val="0"/>
        <w:autoSpaceDE w:val="0"/>
        <w:autoSpaceDN w:val="0"/>
        <w:adjustRightInd w:val="0"/>
        <w:ind w:left="1440" w:hanging="720"/>
      </w:pPr>
      <w:r>
        <w:rPr>
          <w:b/>
          <w:bCs/>
        </w:rPr>
        <w:sym w:font="Symbol" w:char="F0B7"/>
      </w:r>
      <w:r>
        <w:tab/>
        <w:t xml:space="preserve">(Subject to state law minimum standards.) </w:t>
      </w:r>
    </w:p>
    <w:p w:rsidR="00C953B6" w:rsidRDefault="00C953B6" w:rsidP="00C953B6">
      <w:pPr>
        <w:widowControl w:val="0"/>
        <w:autoSpaceDE w:val="0"/>
        <w:autoSpaceDN w:val="0"/>
        <w:adjustRightInd w:val="0"/>
        <w:ind w:left="1440" w:hanging="720"/>
      </w:pPr>
      <w:r>
        <w:rPr>
          <w:b/>
          <w:bCs/>
        </w:rPr>
        <w:sym w:font="Symbol" w:char="F0B7"/>
      </w:r>
      <w:r>
        <w:tab/>
        <w:t xml:space="preserve">Exercise your </w:t>
      </w:r>
      <w:proofErr w:type="spellStart"/>
      <w:r>
        <w:t>nonforfeiture</w:t>
      </w:r>
      <w:proofErr w:type="spellEnd"/>
      <w:r>
        <w:t xml:space="preserve"> option if purchased.  (This option is available for purchase for an additional premium.) </w:t>
      </w:r>
    </w:p>
    <w:p w:rsidR="00C953B6" w:rsidRDefault="00C953B6" w:rsidP="00C953B6">
      <w:pPr>
        <w:widowControl w:val="0"/>
        <w:autoSpaceDE w:val="0"/>
        <w:autoSpaceDN w:val="0"/>
        <w:adjustRightInd w:val="0"/>
        <w:ind w:left="1440" w:hanging="720"/>
      </w:pPr>
      <w:r>
        <w:rPr>
          <w:b/>
          <w:bCs/>
        </w:rPr>
        <w:sym w:font="Symbol" w:char="F0B7"/>
      </w:r>
      <w:r>
        <w:tab/>
        <w:t xml:space="preserve">Exercise your contingent </w:t>
      </w:r>
      <w:proofErr w:type="spellStart"/>
      <w:r>
        <w:t>nonforfeiture</w:t>
      </w:r>
      <w:proofErr w:type="spellEnd"/>
      <w:r>
        <w:t xml:space="preserve"> rights.</w:t>
      </w:r>
      <w:proofErr w:type="gramStart"/>
      <w:r>
        <w:t>*  (</w:t>
      </w:r>
      <w:proofErr w:type="gramEnd"/>
      <w:r>
        <w:t xml:space="preserve">This option may be available if you do not purchase a separate </w:t>
      </w:r>
      <w:proofErr w:type="spellStart"/>
      <w:r>
        <w:t>nonforfeiture</w:t>
      </w:r>
      <w:proofErr w:type="spellEnd"/>
      <w:r>
        <w:t xml:space="preserve"> option.) </w:t>
      </w:r>
    </w:p>
    <w:p w:rsidR="00C953B6" w:rsidRDefault="00C953B6" w:rsidP="00C953B6">
      <w:pPr>
        <w:widowControl w:val="0"/>
        <w:autoSpaceDE w:val="0"/>
        <w:autoSpaceDN w:val="0"/>
        <w:adjustRightInd w:val="0"/>
        <w:ind w:left="1440" w:hanging="720"/>
      </w:pPr>
    </w:p>
    <w:p w:rsidR="00C953B6" w:rsidRDefault="00C953B6" w:rsidP="00C953B6">
      <w:pPr>
        <w:widowControl w:val="0"/>
        <w:autoSpaceDE w:val="0"/>
        <w:autoSpaceDN w:val="0"/>
        <w:adjustRightInd w:val="0"/>
      </w:pPr>
      <w:proofErr w:type="gramStart"/>
      <w:r>
        <w:lastRenderedPageBreak/>
        <w:t>*</w:t>
      </w:r>
      <w:r>
        <w:rPr>
          <w:b/>
          <w:bCs/>
        </w:rPr>
        <w:t xml:space="preserve">  Contingent</w:t>
      </w:r>
      <w:proofErr w:type="gramEnd"/>
      <w:r>
        <w:rPr>
          <w:b/>
          <w:bCs/>
        </w:rPr>
        <w:t xml:space="preserve"> </w:t>
      </w:r>
      <w:proofErr w:type="spellStart"/>
      <w:r>
        <w:rPr>
          <w:b/>
          <w:bCs/>
        </w:rPr>
        <w:t>Nonforfeiture</w:t>
      </w:r>
      <w:proofErr w:type="spellEnd"/>
      <w:r>
        <w:t xml:space="preserv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If the premium rate for your policy goes up in the future and you didn't buy a </w:t>
      </w:r>
      <w:proofErr w:type="spellStart"/>
      <w:r>
        <w:t>nonforfeiture</w:t>
      </w:r>
      <w:proofErr w:type="spellEnd"/>
      <w:r>
        <w:t xml:space="preserve"> option, you may be eligible for contingent </w:t>
      </w:r>
      <w:proofErr w:type="spellStart"/>
      <w:r>
        <w:t>nonforfeiture</w:t>
      </w:r>
      <w:proofErr w:type="spellEnd"/>
      <w:r>
        <w:t xml:space="preserve">.  Here's how to tell if you are eligible: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You will keep some long-term care insurance coverage, if: </w:t>
      </w:r>
    </w:p>
    <w:p w:rsidR="00C953B6" w:rsidRDefault="00C953B6" w:rsidP="00C953B6">
      <w:pPr>
        <w:widowControl w:val="0"/>
        <w:autoSpaceDE w:val="0"/>
        <w:autoSpaceDN w:val="0"/>
        <w:adjustRightInd w:val="0"/>
        <w:ind w:left="1440" w:hanging="720"/>
        <w:rPr>
          <w:b/>
          <w:bCs/>
        </w:rPr>
      </w:pPr>
    </w:p>
    <w:p w:rsidR="00C953B6" w:rsidRDefault="00C953B6" w:rsidP="00C953B6">
      <w:pPr>
        <w:widowControl w:val="0"/>
        <w:autoSpaceDE w:val="0"/>
        <w:autoSpaceDN w:val="0"/>
        <w:adjustRightInd w:val="0"/>
        <w:ind w:left="1440" w:hanging="720"/>
      </w:pPr>
      <w:r>
        <w:rPr>
          <w:b/>
          <w:bCs/>
        </w:rPr>
        <w:sym w:font="Symbol" w:char="F0B7"/>
      </w:r>
      <w:r>
        <w:tab/>
        <w:t xml:space="preserve">Your premium after the increase exceeds your original premium by the percentage shown (or more) in the following table; and </w:t>
      </w:r>
    </w:p>
    <w:p w:rsidR="00C953B6" w:rsidRDefault="00C953B6" w:rsidP="00C953B6">
      <w:pPr>
        <w:widowControl w:val="0"/>
        <w:autoSpaceDE w:val="0"/>
        <w:autoSpaceDN w:val="0"/>
        <w:adjustRightInd w:val="0"/>
        <w:ind w:left="1440" w:hanging="720"/>
      </w:pPr>
      <w:r>
        <w:rPr>
          <w:b/>
          <w:bCs/>
        </w:rPr>
        <w:sym w:font="Symbol" w:char="F0B7"/>
      </w:r>
      <w:r>
        <w:tab/>
        <w:t xml:space="preserve">You lapse (not pay more premiums) within 120 days of the increase. </w:t>
      </w:r>
    </w:p>
    <w:p w:rsidR="00C953B6" w:rsidRDefault="00C953B6" w:rsidP="00C953B6">
      <w:pPr>
        <w:widowControl w:val="0"/>
        <w:autoSpaceDE w:val="0"/>
        <w:autoSpaceDN w:val="0"/>
        <w:adjustRightInd w:val="0"/>
        <w:ind w:left="1440" w:hanging="720"/>
      </w:pPr>
    </w:p>
    <w:p w:rsidR="00C953B6" w:rsidRDefault="00C953B6" w:rsidP="00C953B6">
      <w:pPr>
        <w:widowControl w:val="0"/>
        <w:autoSpaceDE w:val="0"/>
        <w:autoSpaceDN w:val="0"/>
        <w:adjustRightInd w:val="0"/>
      </w:pPr>
      <w:r>
        <w:t xml:space="preserve">The amount of coverage (i.e., new lifetime maximum benefit amount) you will keep will equal the total amount of premiums you've paid since your policy was first issued.  If you have already received benefits under the policy, so that the remaining maximum benefit amount is less than the total amount of premiums you've paid, the amount of coverage will be that remaining amount.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Except for this reduced lifetime maximum benefit amount, all other policy benefits will remain at the levels attained at the time of the lapse and will not increase thereafter.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Should you choose this Contingent </w:t>
      </w:r>
      <w:proofErr w:type="spellStart"/>
      <w:r>
        <w:t>Nonforfeiture</w:t>
      </w:r>
      <w:proofErr w:type="spellEnd"/>
      <w:r>
        <w:t xml:space="preserve"> option, your policy, with this reduced maximum benefit amount, will be considered "paid-up" with no further premiums due.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pPr>
      <w:r>
        <w:t xml:space="preserve">Example: </w:t>
      </w:r>
    </w:p>
    <w:p w:rsidR="00C953B6" w:rsidRDefault="00C953B6" w:rsidP="00C953B6">
      <w:pPr>
        <w:widowControl w:val="0"/>
        <w:autoSpaceDE w:val="0"/>
        <w:autoSpaceDN w:val="0"/>
        <w:adjustRightInd w:val="0"/>
      </w:pPr>
    </w:p>
    <w:p w:rsidR="00C953B6" w:rsidRDefault="00C953B6" w:rsidP="00C953B6">
      <w:pPr>
        <w:widowControl w:val="0"/>
        <w:autoSpaceDE w:val="0"/>
        <w:autoSpaceDN w:val="0"/>
        <w:adjustRightInd w:val="0"/>
        <w:ind w:left="1440" w:hanging="720"/>
      </w:pPr>
      <w:r>
        <w:rPr>
          <w:b/>
          <w:bCs/>
        </w:rPr>
        <w:sym w:font="Symbol" w:char="F0B7"/>
      </w:r>
      <w:r>
        <w:tab/>
        <w:t xml:space="preserve">You bought the policy at age 65 and paid the $1,000 annual premium for 10 years, so you have paid a total of $10,000 in premium. </w:t>
      </w:r>
    </w:p>
    <w:p w:rsidR="00C953B6" w:rsidRDefault="00C953B6" w:rsidP="00C953B6">
      <w:pPr>
        <w:widowControl w:val="0"/>
        <w:autoSpaceDE w:val="0"/>
        <w:autoSpaceDN w:val="0"/>
        <w:adjustRightInd w:val="0"/>
        <w:ind w:left="1440" w:hanging="720"/>
      </w:pPr>
      <w:r>
        <w:rPr>
          <w:b/>
          <w:bCs/>
        </w:rPr>
        <w:sym w:font="Symbol" w:char="F0B7"/>
      </w:r>
      <w:r>
        <w:tab/>
        <w:t xml:space="preserve">In the eleventh year, you receive a rate increase of 50%, or $500 for a new annual premium of $1,500, and you decide to lapse the policy (not pay any more premiums). </w:t>
      </w:r>
    </w:p>
    <w:p w:rsidR="00C953B6" w:rsidRDefault="00C953B6" w:rsidP="00C953B6">
      <w:pPr>
        <w:widowControl w:val="0"/>
        <w:autoSpaceDE w:val="0"/>
        <w:autoSpaceDN w:val="0"/>
        <w:adjustRightInd w:val="0"/>
        <w:ind w:left="1440" w:hanging="720"/>
      </w:pPr>
      <w:r>
        <w:rPr>
          <w:b/>
          <w:bCs/>
        </w:rPr>
        <w:sym w:font="Symbol" w:char="F0B7"/>
      </w:r>
      <w:r>
        <w:tab/>
        <w:t xml:space="preserve">Your paid-up policy benefits are $10,000 (provided you have at least $10,000 of benefits remaining under your policy.) </w:t>
      </w:r>
    </w:p>
    <w:p w:rsidR="00C953B6" w:rsidRDefault="00C953B6" w:rsidP="00C953B6">
      <w:pPr>
        <w:widowControl w:val="0"/>
        <w:autoSpaceDE w:val="0"/>
        <w:autoSpaceDN w:val="0"/>
        <w:adjustRightInd w:val="0"/>
        <w:ind w:left="1440" w:hanging="720"/>
      </w:pPr>
      <w:r>
        <w:br w:type="page"/>
      </w:r>
    </w:p>
    <w:tbl>
      <w:tblPr>
        <w:tblW w:w="0" w:type="auto"/>
        <w:tblInd w:w="540" w:type="dxa"/>
        <w:tblLook w:val="0000" w:firstRow="0" w:lastRow="0" w:firstColumn="0" w:lastColumn="0" w:noHBand="0" w:noVBand="0"/>
      </w:tblPr>
      <w:tblGrid>
        <w:gridCol w:w="4248"/>
        <w:gridCol w:w="4374"/>
      </w:tblGrid>
      <w:tr w:rsidR="00C953B6" w:rsidTr="00326E1D">
        <w:trPr>
          <w:trHeight w:val="2051"/>
        </w:trPr>
        <w:tc>
          <w:tcPr>
            <w:tcW w:w="8622"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953B6" w:rsidRDefault="00C953B6" w:rsidP="00326E1D">
            <w:pPr>
              <w:widowControl w:val="0"/>
              <w:autoSpaceDE w:val="0"/>
              <w:autoSpaceDN w:val="0"/>
              <w:adjustRightInd w:val="0"/>
              <w:jc w:val="center"/>
              <w:rPr>
                <w:b/>
                <w:bCs/>
              </w:rPr>
            </w:pPr>
            <w:r>
              <w:rPr>
                <w:b/>
                <w:bCs/>
              </w:rPr>
              <w:br w:type="page"/>
            </w:r>
          </w:p>
          <w:p w:rsidR="00C953B6" w:rsidRDefault="00C953B6" w:rsidP="00326E1D">
            <w:pPr>
              <w:widowControl w:val="0"/>
              <w:autoSpaceDE w:val="0"/>
              <w:autoSpaceDN w:val="0"/>
              <w:adjustRightInd w:val="0"/>
              <w:jc w:val="center"/>
            </w:pPr>
            <w:r>
              <w:rPr>
                <w:b/>
                <w:bCs/>
              </w:rPr>
              <w:t xml:space="preserve">Contingent </w:t>
            </w:r>
            <w:proofErr w:type="spellStart"/>
            <w:r>
              <w:rPr>
                <w:b/>
                <w:bCs/>
              </w:rPr>
              <w:t>Nonforfeiture</w:t>
            </w:r>
            <w:proofErr w:type="spellEnd"/>
          </w:p>
          <w:p w:rsidR="00C953B6" w:rsidRDefault="00C953B6" w:rsidP="00326E1D">
            <w:pPr>
              <w:widowControl w:val="0"/>
              <w:autoSpaceDE w:val="0"/>
              <w:autoSpaceDN w:val="0"/>
              <w:adjustRightInd w:val="0"/>
              <w:jc w:val="center"/>
            </w:pPr>
            <w:r>
              <w:rPr>
                <w:b/>
                <w:bCs/>
              </w:rPr>
              <w:t>Cumulative Premium Increase over Initial Premium</w:t>
            </w:r>
          </w:p>
          <w:p w:rsidR="00C953B6" w:rsidRDefault="00C953B6" w:rsidP="00326E1D">
            <w:pPr>
              <w:widowControl w:val="0"/>
              <w:autoSpaceDE w:val="0"/>
              <w:autoSpaceDN w:val="0"/>
              <w:adjustRightInd w:val="0"/>
              <w:jc w:val="center"/>
              <w:rPr>
                <w:b/>
                <w:bCs/>
              </w:rPr>
            </w:pPr>
            <w:r>
              <w:rPr>
                <w:b/>
                <w:bCs/>
              </w:rPr>
              <w:t xml:space="preserve">That qualifies for Contingent </w:t>
            </w:r>
            <w:proofErr w:type="spellStart"/>
            <w:r>
              <w:rPr>
                <w:b/>
                <w:bCs/>
              </w:rPr>
              <w:t>Nonforfeiture</w:t>
            </w:r>
            <w:proofErr w:type="spellEnd"/>
          </w:p>
          <w:p w:rsidR="00C953B6" w:rsidRDefault="00C953B6" w:rsidP="00326E1D">
            <w:pPr>
              <w:widowControl w:val="0"/>
              <w:autoSpaceDE w:val="0"/>
              <w:autoSpaceDN w:val="0"/>
              <w:adjustRightInd w:val="0"/>
              <w:jc w:val="center"/>
            </w:pPr>
          </w:p>
          <w:p w:rsidR="00594C0C" w:rsidRDefault="00C953B6" w:rsidP="00326E1D">
            <w:pPr>
              <w:widowControl w:val="0"/>
              <w:autoSpaceDE w:val="0"/>
              <w:autoSpaceDN w:val="0"/>
              <w:adjustRightInd w:val="0"/>
              <w:jc w:val="center"/>
            </w:pPr>
            <w:r>
              <w:t>(Percentage increase is cumulative from date of original issue.</w:t>
            </w:r>
          </w:p>
          <w:p w:rsidR="00C953B6" w:rsidRDefault="00C953B6" w:rsidP="00326E1D">
            <w:pPr>
              <w:widowControl w:val="0"/>
              <w:autoSpaceDE w:val="0"/>
              <w:autoSpaceDN w:val="0"/>
              <w:adjustRightInd w:val="0"/>
              <w:jc w:val="center"/>
            </w:pPr>
            <w:r>
              <w:t>It does NOT represent a one-time increase.)</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Pr="00CA60E8" w:rsidRDefault="00C953B6" w:rsidP="00326E1D">
            <w:pPr>
              <w:widowControl w:val="0"/>
              <w:autoSpaceDE w:val="0"/>
              <w:autoSpaceDN w:val="0"/>
              <w:adjustRightInd w:val="0"/>
              <w:jc w:val="center"/>
              <w:rPr>
                <w:b/>
                <w:bCs/>
              </w:rPr>
            </w:pPr>
            <w:r>
              <w:rPr>
                <w:b/>
                <w:bCs/>
              </w:rPr>
              <w:t>Issue Age</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Pr="00E73809" w:rsidRDefault="00C953B6" w:rsidP="00326E1D">
            <w:pPr>
              <w:widowControl w:val="0"/>
              <w:autoSpaceDE w:val="0"/>
              <w:autoSpaceDN w:val="0"/>
              <w:adjustRightInd w:val="0"/>
              <w:jc w:val="center"/>
              <w:rPr>
                <w:b/>
                <w:bCs/>
              </w:rPr>
            </w:pPr>
            <w:r w:rsidRPr="00E73809">
              <w:rPr>
                <w:b/>
                <w:bCs/>
              </w:rPr>
              <w:t>Percent Increase Over Initial Premium</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FE080A">
            <w:pPr>
              <w:widowControl w:val="0"/>
              <w:autoSpaceDE w:val="0"/>
              <w:autoSpaceDN w:val="0"/>
              <w:adjustRightInd w:val="0"/>
              <w:jc w:val="center"/>
            </w:pPr>
            <w:bookmarkStart w:id="0" w:name="_GoBack"/>
            <w:bookmarkEnd w:id="0"/>
            <w:r>
              <w:t>54</w:t>
            </w:r>
            <w:r w:rsidR="008C0F71">
              <w:t xml:space="preserve"> and under</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8C0F71" w:rsidP="008C0F71">
            <w:pPr>
              <w:widowControl w:val="0"/>
              <w:autoSpaceDE w:val="0"/>
              <w:autoSpaceDN w:val="0"/>
              <w:adjustRightInd w:val="0"/>
              <w:jc w:val="center"/>
            </w:pPr>
            <w:r>
              <w:t>100</w:t>
            </w:r>
            <w:r w:rsidR="00C953B6">
              <w:t>%</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55</w:t>
            </w:r>
            <w:r w:rsidR="00701AAD">
              <w:t>-</w:t>
            </w:r>
            <w:r>
              <w:t>59</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90%</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60</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70%</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61</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66%</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62</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62%</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63</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58%</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64</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54%</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65</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50%</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66</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48%</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67</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46%</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68</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44%</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69</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42%</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70</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40%</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71</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38%</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72</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36%</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73</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34%</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74</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32%</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75</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30%</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76</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28%</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77</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26%</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78</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24%</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79</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22%</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80</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20%</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81</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19%</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82</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18%</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83</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17%</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84</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16%</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lastRenderedPageBreak/>
              <w:t>85</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15%</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86</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14%</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87</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13%</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88</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12%</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89</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11%</w:t>
            </w:r>
          </w:p>
        </w:tc>
      </w:tr>
      <w:tr w:rsidR="00C953B6" w:rsidTr="00326E1D">
        <w:trPr>
          <w:trHeight w:val="360"/>
        </w:trPr>
        <w:tc>
          <w:tcPr>
            <w:tcW w:w="42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90 and over</w:t>
            </w:r>
          </w:p>
        </w:tc>
        <w:tc>
          <w:tcPr>
            <w:tcW w:w="4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3B6" w:rsidRDefault="00C953B6" w:rsidP="00326E1D">
            <w:pPr>
              <w:widowControl w:val="0"/>
              <w:autoSpaceDE w:val="0"/>
              <w:autoSpaceDN w:val="0"/>
              <w:adjustRightInd w:val="0"/>
              <w:jc w:val="center"/>
            </w:pPr>
            <w:r>
              <w:t>10%</w:t>
            </w:r>
          </w:p>
        </w:tc>
      </w:tr>
    </w:tbl>
    <w:p w:rsidR="00B72B05" w:rsidRDefault="00B72B05" w:rsidP="00B72B05">
      <w:pPr>
        <w:widowControl w:val="0"/>
        <w:autoSpaceDE w:val="0"/>
        <w:autoSpaceDN w:val="0"/>
        <w:adjustRightInd w:val="0"/>
        <w:ind w:left="1440" w:hanging="720"/>
      </w:pPr>
    </w:p>
    <w:p w:rsidR="008B362D" w:rsidRPr="008B362D" w:rsidRDefault="008B362D" w:rsidP="008B362D">
      <w:r w:rsidRPr="008B362D">
        <w:t xml:space="preserve">[The following contingent </w:t>
      </w:r>
      <w:proofErr w:type="spellStart"/>
      <w:r w:rsidRPr="008B362D">
        <w:t>nonforfeiture</w:t>
      </w:r>
      <w:proofErr w:type="spellEnd"/>
      <w:r w:rsidRPr="008B362D">
        <w:t xml:space="preserve"> disclosure need only be included for those limited pay policies to which Section 2012.127(d</w:t>
      </w:r>
      <w:proofErr w:type="gramStart"/>
      <w:r w:rsidRPr="008B362D">
        <w:t>)(</w:t>
      </w:r>
      <w:proofErr w:type="gramEnd"/>
      <w:r w:rsidRPr="008B362D">
        <w:t xml:space="preserve">3) and (d)(5) are applicable.] </w:t>
      </w:r>
    </w:p>
    <w:p w:rsidR="008B362D" w:rsidRPr="008B362D" w:rsidRDefault="008B362D" w:rsidP="008B362D"/>
    <w:p w:rsidR="008B362D" w:rsidRPr="008B362D" w:rsidRDefault="008B362D" w:rsidP="008B362D">
      <w:r w:rsidRPr="008B362D">
        <w:t xml:space="preserve">In addition to the contingent </w:t>
      </w:r>
      <w:proofErr w:type="spellStart"/>
      <w:r w:rsidRPr="008B362D">
        <w:t>nonforfeiture</w:t>
      </w:r>
      <w:proofErr w:type="spellEnd"/>
      <w:r w:rsidRPr="008B362D">
        <w:t xml:space="preserve"> benefits described </w:t>
      </w:r>
      <w:r w:rsidR="001D6414">
        <w:t>in this Exhibit</w:t>
      </w:r>
      <w:r w:rsidRPr="008B362D">
        <w:t xml:space="preserve">, the following reduced paid-up contingent </w:t>
      </w:r>
      <w:proofErr w:type="spellStart"/>
      <w:r w:rsidRPr="008B362D">
        <w:t>nonforfeiture</w:t>
      </w:r>
      <w:proofErr w:type="spellEnd"/>
      <w:r w:rsidRPr="008B362D">
        <w:t xml:space="preserve"> benefit is an option in all policies that have a fixed or limited premium payment period, even if you selected a </w:t>
      </w:r>
      <w:proofErr w:type="spellStart"/>
      <w:r w:rsidRPr="008B362D">
        <w:t>nonforfeiture</w:t>
      </w:r>
      <w:proofErr w:type="spellEnd"/>
      <w:r w:rsidRPr="008B362D">
        <w:t xml:space="preserve"> benefit when you bought your policy.  If both the reduced paid up benefit AND the contingent benefit described are triggered by the same rate increase, you can choose either of the two benefits.</w:t>
      </w:r>
    </w:p>
    <w:p w:rsidR="008B362D" w:rsidRPr="008B362D" w:rsidRDefault="008B362D" w:rsidP="008B362D"/>
    <w:p w:rsidR="008B362D" w:rsidRPr="008B362D" w:rsidRDefault="008B362D" w:rsidP="008B362D">
      <w:r w:rsidRPr="008B362D">
        <w:t>You are eligible for the reduced paid</w:t>
      </w:r>
      <w:r w:rsidR="001D6414">
        <w:t>-</w:t>
      </w:r>
      <w:r w:rsidRPr="008B362D">
        <w:t xml:space="preserve">up contingent </w:t>
      </w:r>
      <w:proofErr w:type="spellStart"/>
      <w:r w:rsidRPr="008B362D">
        <w:t>nonforfeiture</w:t>
      </w:r>
      <w:proofErr w:type="spellEnd"/>
      <w:r w:rsidRPr="008B362D">
        <w:t xml:space="preserve"> benefit when all three conditions shown below are met:</w:t>
      </w:r>
    </w:p>
    <w:p w:rsidR="008B362D" w:rsidRPr="008B362D" w:rsidRDefault="008B362D" w:rsidP="008B362D"/>
    <w:p w:rsidR="008B362D" w:rsidRPr="008B362D" w:rsidRDefault="008B362D" w:rsidP="001D6414">
      <w:pPr>
        <w:ind w:left="1440" w:hanging="720"/>
      </w:pPr>
      <w:r w:rsidRPr="008B362D">
        <w:t>1.</w:t>
      </w:r>
      <w:r>
        <w:tab/>
      </w:r>
      <w:r w:rsidRPr="008B362D">
        <w:t xml:space="preserve">The premium you are required to pay after the increase exceeds your original premium by the same percentage or more shown in the </w:t>
      </w:r>
      <w:r w:rsidR="001D6414">
        <w:t xml:space="preserve">following </w:t>
      </w:r>
      <w:r w:rsidRPr="008B362D">
        <w:t>chart</w:t>
      </w:r>
      <w:r w:rsidR="001D6414">
        <w:t>:</w:t>
      </w:r>
      <w:r w:rsidRPr="008B362D">
        <w:t xml:space="preserve"> </w:t>
      </w:r>
    </w:p>
    <w:p w:rsidR="008B362D" w:rsidRPr="008B362D" w:rsidRDefault="008B362D" w:rsidP="008B362D"/>
    <w:tbl>
      <w:tblPr>
        <w:tblW w:w="0" w:type="auto"/>
        <w:tblInd w:w="2268" w:type="dxa"/>
        <w:tblLayout w:type="fixed"/>
        <w:tblLook w:val="0000" w:firstRow="0" w:lastRow="0" w:firstColumn="0" w:lastColumn="0" w:noHBand="0" w:noVBand="0"/>
      </w:tblPr>
      <w:tblGrid>
        <w:gridCol w:w="2160"/>
        <w:gridCol w:w="810"/>
        <w:gridCol w:w="2673"/>
      </w:tblGrid>
      <w:tr w:rsidR="008B362D" w:rsidRPr="0010420D" w:rsidTr="008B362D">
        <w:trPr>
          <w:cantSplit/>
          <w:trHeight w:val="531"/>
        </w:trPr>
        <w:tc>
          <w:tcPr>
            <w:tcW w:w="5643" w:type="dxa"/>
            <w:gridSpan w:val="3"/>
            <w:tcBorders>
              <w:bottom w:val="single" w:sz="6" w:space="0" w:color="auto"/>
            </w:tcBorders>
            <w:vAlign w:val="center"/>
          </w:tcPr>
          <w:p w:rsidR="008B362D" w:rsidRPr="008B362D" w:rsidRDefault="008B362D" w:rsidP="008B362D">
            <w:pPr>
              <w:jc w:val="center"/>
            </w:pPr>
            <w:r w:rsidRPr="008B362D">
              <w:t>Triggers for a Substantial Premium Increase</w:t>
            </w:r>
          </w:p>
        </w:tc>
      </w:tr>
      <w:tr w:rsidR="008B362D" w:rsidRPr="0010420D" w:rsidTr="00B67C59">
        <w:trPr>
          <w:trHeight w:val="705"/>
        </w:trPr>
        <w:tc>
          <w:tcPr>
            <w:tcW w:w="2160" w:type="dxa"/>
            <w:tcBorders>
              <w:bottom w:val="single" w:sz="6" w:space="0" w:color="auto"/>
            </w:tcBorders>
            <w:vAlign w:val="center"/>
          </w:tcPr>
          <w:p w:rsidR="008B362D" w:rsidRPr="008B362D" w:rsidRDefault="008B362D" w:rsidP="008B362D">
            <w:pPr>
              <w:jc w:val="center"/>
            </w:pPr>
            <w:r w:rsidRPr="008B362D">
              <w:t>Issue Age</w:t>
            </w:r>
          </w:p>
        </w:tc>
        <w:tc>
          <w:tcPr>
            <w:tcW w:w="810" w:type="dxa"/>
          </w:tcPr>
          <w:p w:rsidR="008B362D" w:rsidRPr="008B362D" w:rsidRDefault="008B362D" w:rsidP="008B362D"/>
        </w:tc>
        <w:tc>
          <w:tcPr>
            <w:tcW w:w="2673" w:type="dxa"/>
            <w:tcBorders>
              <w:bottom w:val="single" w:sz="6" w:space="0" w:color="auto"/>
            </w:tcBorders>
            <w:vAlign w:val="center"/>
          </w:tcPr>
          <w:p w:rsidR="008B362D" w:rsidRPr="008B362D" w:rsidRDefault="008B362D" w:rsidP="008B362D">
            <w:pPr>
              <w:jc w:val="center"/>
            </w:pPr>
            <w:r w:rsidRPr="008B362D">
              <w:t>Percent Increase Over Initial Premium</w:t>
            </w:r>
          </w:p>
        </w:tc>
      </w:tr>
      <w:tr w:rsidR="008B362D" w:rsidRPr="0010420D" w:rsidTr="00B67C59">
        <w:trPr>
          <w:trHeight w:val="336"/>
        </w:trPr>
        <w:tc>
          <w:tcPr>
            <w:tcW w:w="2160" w:type="dxa"/>
            <w:vAlign w:val="center"/>
          </w:tcPr>
          <w:p w:rsidR="008B362D" w:rsidRPr="0010420D" w:rsidRDefault="008B362D" w:rsidP="00B67C59">
            <w:pPr>
              <w:jc w:val="center"/>
            </w:pPr>
            <w:r w:rsidRPr="0010420D">
              <w:t>Under 65</w:t>
            </w:r>
          </w:p>
        </w:tc>
        <w:tc>
          <w:tcPr>
            <w:tcW w:w="810" w:type="dxa"/>
            <w:vAlign w:val="center"/>
          </w:tcPr>
          <w:p w:rsidR="008B362D" w:rsidRPr="0010420D" w:rsidRDefault="008B362D" w:rsidP="00B67C59">
            <w:pPr>
              <w:jc w:val="center"/>
            </w:pPr>
          </w:p>
        </w:tc>
        <w:tc>
          <w:tcPr>
            <w:tcW w:w="2673" w:type="dxa"/>
            <w:vAlign w:val="center"/>
          </w:tcPr>
          <w:p w:rsidR="008B362D" w:rsidRPr="0010420D" w:rsidRDefault="008B362D" w:rsidP="00B67C59">
            <w:pPr>
              <w:jc w:val="center"/>
            </w:pPr>
            <w:r w:rsidRPr="0010420D">
              <w:t>50%</w:t>
            </w:r>
          </w:p>
        </w:tc>
      </w:tr>
      <w:tr w:rsidR="008B362D" w:rsidRPr="0010420D" w:rsidTr="00B67C59">
        <w:trPr>
          <w:trHeight w:val="360"/>
        </w:trPr>
        <w:tc>
          <w:tcPr>
            <w:tcW w:w="2160" w:type="dxa"/>
            <w:vAlign w:val="center"/>
          </w:tcPr>
          <w:p w:rsidR="008B362D" w:rsidRPr="0010420D" w:rsidRDefault="008B362D" w:rsidP="008B362D">
            <w:pPr>
              <w:jc w:val="center"/>
            </w:pPr>
            <w:r w:rsidRPr="0010420D">
              <w:t>65-80</w:t>
            </w:r>
          </w:p>
        </w:tc>
        <w:tc>
          <w:tcPr>
            <w:tcW w:w="810" w:type="dxa"/>
            <w:vAlign w:val="center"/>
          </w:tcPr>
          <w:p w:rsidR="008B362D" w:rsidRPr="0010420D" w:rsidRDefault="008B362D" w:rsidP="00B67C59">
            <w:pPr>
              <w:jc w:val="center"/>
            </w:pPr>
          </w:p>
        </w:tc>
        <w:tc>
          <w:tcPr>
            <w:tcW w:w="2673" w:type="dxa"/>
            <w:vAlign w:val="center"/>
          </w:tcPr>
          <w:p w:rsidR="008B362D" w:rsidRPr="0010420D" w:rsidRDefault="008B362D" w:rsidP="008B362D">
            <w:pPr>
              <w:jc w:val="center"/>
            </w:pPr>
            <w:r w:rsidRPr="0010420D">
              <w:t>30%</w:t>
            </w:r>
          </w:p>
        </w:tc>
      </w:tr>
      <w:tr w:rsidR="008B362D" w:rsidRPr="0010420D" w:rsidTr="00B67C59">
        <w:trPr>
          <w:trHeight w:val="333"/>
        </w:trPr>
        <w:tc>
          <w:tcPr>
            <w:tcW w:w="2160" w:type="dxa"/>
            <w:vAlign w:val="center"/>
          </w:tcPr>
          <w:p w:rsidR="008B362D" w:rsidRPr="0010420D" w:rsidRDefault="008B362D" w:rsidP="00B67C59">
            <w:pPr>
              <w:jc w:val="center"/>
            </w:pPr>
            <w:r w:rsidRPr="0010420D">
              <w:t>Over 80</w:t>
            </w:r>
          </w:p>
        </w:tc>
        <w:tc>
          <w:tcPr>
            <w:tcW w:w="810" w:type="dxa"/>
            <w:vAlign w:val="center"/>
          </w:tcPr>
          <w:p w:rsidR="008B362D" w:rsidRPr="0010420D" w:rsidRDefault="008B362D" w:rsidP="00B67C59">
            <w:pPr>
              <w:jc w:val="center"/>
            </w:pPr>
          </w:p>
        </w:tc>
        <w:tc>
          <w:tcPr>
            <w:tcW w:w="2673" w:type="dxa"/>
            <w:vAlign w:val="center"/>
          </w:tcPr>
          <w:p w:rsidR="008B362D" w:rsidRPr="0010420D" w:rsidRDefault="008B362D" w:rsidP="00B67C59">
            <w:pPr>
              <w:jc w:val="center"/>
            </w:pPr>
            <w:r w:rsidRPr="0010420D">
              <w:t>10%</w:t>
            </w:r>
          </w:p>
        </w:tc>
      </w:tr>
    </w:tbl>
    <w:p w:rsidR="008B362D" w:rsidRPr="0010420D" w:rsidRDefault="008B362D" w:rsidP="008B362D">
      <w:pPr>
        <w:tabs>
          <w:tab w:val="num" w:pos="900"/>
        </w:tabs>
        <w:jc w:val="both"/>
      </w:pPr>
    </w:p>
    <w:p w:rsidR="008B362D" w:rsidRPr="008B362D" w:rsidRDefault="008B362D" w:rsidP="00594C0C">
      <w:pPr>
        <w:ind w:left="1440" w:hanging="720"/>
      </w:pPr>
      <w:r w:rsidRPr="008B362D">
        <w:t>2.</w:t>
      </w:r>
      <w:r>
        <w:tab/>
      </w:r>
      <w:r w:rsidRPr="008B362D">
        <w:t xml:space="preserve">You stop paying your premiums within 120 days </w:t>
      </w:r>
      <w:r w:rsidR="001D6414">
        <w:t>after</w:t>
      </w:r>
      <w:r w:rsidRPr="008B362D">
        <w:t xml:space="preserve"> the premium increase took effect; AND</w:t>
      </w:r>
    </w:p>
    <w:p w:rsidR="008B362D" w:rsidRPr="008B362D" w:rsidRDefault="008B362D" w:rsidP="008B362D"/>
    <w:p w:rsidR="008B362D" w:rsidRPr="008B362D" w:rsidRDefault="008B362D" w:rsidP="00594C0C">
      <w:pPr>
        <w:ind w:left="1440" w:hanging="720"/>
      </w:pPr>
      <w:r w:rsidRPr="008B362D">
        <w:t>3.</w:t>
      </w:r>
      <w:r>
        <w:tab/>
      </w:r>
      <w:r w:rsidRPr="008B362D">
        <w:t>The ratio of the number of months you already paid premiums is 40% or more than the number of months you originally agreed to pay.</w:t>
      </w:r>
    </w:p>
    <w:p w:rsidR="008B362D" w:rsidRPr="008B362D" w:rsidRDefault="008B362D" w:rsidP="008B362D"/>
    <w:p w:rsidR="008B362D" w:rsidRPr="008B362D" w:rsidRDefault="008B362D" w:rsidP="008B362D">
      <w:r w:rsidRPr="008B362D">
        <w:t>If you exercise this option</w:t>
      </w:r>
      <w:r w:rsidR="001D6414">
        <w:t>,</w:t>
      </w:r>
      <w:r w:rsidRPr="008B362D">
        <w:t xml:space="preserve"> your coverage will be converted to </w:t>
      </w:r>
      <w:proofErr w:type="gramStart"/>
      <w:r w:rsidRPr="008B362D">
        <w:t>reduced</w:t>
      </w:r>
      <w:proofErr w:type="gramEnd"/>
      <w:r w:rsidRPr="008B362D">
        <w:t xml:space="preserve"> paid-up status. </w:t>
      </w:r>
      <w:r w:rsidR="00B67C59">
        <w:t xml:space="preserve"> </w:t>
      </w:r>
      <w:r w:rsidRPr="008B362D">
        <w:t>That means there will be no additional premiums required.  Your benefits will change in the following ways:</w:t>
      </w:r>
    </w:p>
    <w:p w:rsidR="008B362D" w:rsidRPr="008B362D" w:rsidRDefault="008B362D" w:rsidP="008B362D"/>
    <w:p w:rsidR="008B362D" w:rsidRPr="008B362D" w:rsidRDefault="008B362D" w:rsidP="00B67C59">
      <w:pPr>
        <w:ind w:left="1440" w:hanging="720"/>
      </w:pPr>
      <w:r w:rsidRPr="008B362D">
        <w:t>a.</w:t>
      </w:r>
      <w:r w:rsidR="00B67C59">
        <w:tab/>
      </w:r>
      <w:r w:rsidRPr="008B362D">
        <w:t>The total lifetime amount of benefits your reduced paid</w:t>
      </w:r>
      <w:r w:rsidR="001D6414">
        <w:t>-</w:t>
      </w:r>
      <w:r w:rsidRPr="008B362D">
        <w:t xml:space="preserve">up policy will provide can be determined by multiplying 90% of the lifetime benefit amount at the time the </w:t>
      </w:r>
      <w:r w:rsidRPr="008B362D">
        <w:lastRenderedPageBreak/>
        <w:t xml:space="preserve">policy becomes paid up by the ratio of the number of months you already paid premiums to the number of months you agreed to pay them.  </w:t>
      </w:r>
    </w:p>
    <w:p w:rsidR="008B362D" w:rsidRPr="008B362D" w:rsidRDefault="008B362D" w:rsidP="008B362D"/>
    <w:p w:rsidR="008B362D" w:rsidRPr="008B362D" w:rsidRDefault="008B362D" w:rsidP="00B67C59">
      <w:pPr>
        <w:ind w:firstLine="720"/>
      </w:pPr>
      <w:r w:rsidRPr="008B362D">
        <w:t>b.</w:t>
      </w:r>
      <w:r w:rsidR="00B67C59">
        <w:tab/>
      </w:r>
      <w:r w:rsidRPr="008B362D">
        <w:t xml:space="preserve">The daily benefit amounts you purchased will also be adjusted by the same ratio.  </w:t>
      </w:r>
    </w:p>
    <w:p w:rsidR="008B362D" w:rsidRPr="008B362D" w:rsidRDefault="008B362D" w:rsidP="008B362D"/>
    <w:p w:rsidR="008B362D" w:rsidRPr="008B362D" w:rsidRDefault="008B362D" w:rsidP="008B362D">
      <w:r w:rsidRPr="008B362D">
        <w:t>If you purchased lifetime benefits, only the daily benefit amounts you purchased will be adjusted by the applicable ratio.</w:t>
      </w:r>
    </w:p>
    <w:p w:rsidR="008B362D" w:rsidRPr="008B362D" w:rsidRDefault="008B362D" w:rsidP="008B362D"/>
    <w:p w:rsidR="008B362D" w:rsidRPr="008B362D" w:rsidRDefault="008B362D" w:rsidP="008B362D">
      <w:r w:rsidRPr="008B362D">
        <w:t xml:space="preserve">Example: </w:t>
      </w:r>
    </w:p>
    <w:p w:rsidR="008B362D" w:rsidRPr="008B362D" w:rsidRDefault="008B362D" w:rsidP="008B362D"/>
    <w:p w:rsidR="008B362D" w:rsidRPr="008B362D" w:rsidRDefault="008B362D" w:rsidP="00B67C59">
      <w:pPr>
        <w:ind w:firstLine="720"/>
      </w:pPr>
      <w:r w:rsidRPr="008B362D">
        <w:sym w:font="Symbol" w:char="F0B7"/>
      </w:r>
      <w:r w:rsidR="00B67C59">
        <w:tab/>
      </w:r>
      <w:r w:rsidRPr="008B362D">
        <w:t>You bought the policy at age 65 with an annual premium payable for 10 years.</w:t>
      </w:r>
    </w:p>
    <w:p w:rsidR="008B362D" w:rsidRPr="008B362D" w:rsidRDefault="008B362D" w:rsidP="008B362D"/>
    <w:p w:rsidR="008B362D" w:rsidRPr="008B362D" w:rsidRDefault="008B362D" w:rsidP="00B67C59">
      <w:pPr>
        <w:ind w:left="1440" w:hanging="720"/>
      </w:pPr>
      <w:r w:rsidRPr="008B362D">
        <w:sym w:font="Symbol" w:char="F0B7"/>
      </w:r>
      <w:r w:rsidR="00B67C59">
        <w:tab/>
      </w:r>
      <w:r w:rsidRPr="008B362D">
        <w:t>In the sixth year, you receive a rate increase of 35% and you decide to stop paying premiums.</w:t>
      </w:r>
    </w:p>
    <w:p w:rsidR="008B362D" w:rsidRPr="008B362D" w:rsidRDefault="008B362D" w:rsidP="008B362D"/>
    <w:p w:rsidR="008B362D" w:rsidRPr="00B67C59" w:rsidRDefault="008B362D" w:rsidP="00B67C59">
      <w:pPr>
        <w:ind w:left="1440" w:hanging="720"/>
      </w:pPr>
      <w:r w:rsidRPr="00B67C59">
        <w:sym w:font="Symbol" w:char="F0B7"/>
      </w:r>
      <w:r w:rsidR="00B67C59">
        <w:tab/>
      </w:r>
      <w:r w:rsidRPr="00B67C59">
        <w:t>Because you have already paid 50% of your total premium payments and that is more than the 40% ratio, your paid-up policy benefits are .45 (.90 times .50) times the total benefit amount that was in effect when you stopped paying your premiums.  If you purchased inflation protection, it will not continue to apply to the benefits in the reduced paid-up policy.</w:t>
      </w:r>
    </w:p>
    <w:p w:rsidR="008B362D" w:rsidRDefault="008B362D" w:rsidP="00B72B05">
      <w:pPr>
        <w:widowControl w:val="0"/>
        <w:autoSpaceDE w:val="0"/>
        <w:autoSpaceDN w:val="0"/>
        <w:adjustRightInd w:val="0"/>
        <w:ind w:left="1440" w:hanging="720"/>
      </w:pPr>
    </w:p>
    <w:p w:rsidR="00B67C59" w:rsidRPr="00D55B37" w:rsidRDefault="008C0F71">
      <w:pPr>
        <w:pStyle w:val="JCARSourceNote"/>
        <w:ind w:left="720"/>
      </w:pPr>
      <w:r>
        <w:t>(Source:  Amended at 4</w:t>
      </w:r>
      <w:r w:rsidR="008A2EA3">
        <w:t>2</w:t>
      </w:r>
      <w:r>
        <w:t xml:space="preserve"> Ill. Reg. </w:t>
      </w:r>
      <w:r w:rsidR="00567055">
        <w:t>4867</w:t>
      </w:r>
      <w:r>
        <w:t xml:space="preserve">, effective </w:t>
      </w:r>
      <w:r w:rsidR="00567055">
        <w:t>February 27, 2018</w:t>
      </w:r>
      <w:r>
        <w:t>)</w:t>
      </w:r>
    </w:p>
    <w:sectPr w:rsidR="00B67C59" w:rsidRPr="00D55B37" w:rsidSect="00B72B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B05"/>
    <w:rsid w:val="00194910"/>
    <w:rsid w:val="001D6414"/>
    <w:rsid w:val="00250EA5"/>
    <w:rsid w:val="002759FF"/>
    <w:rsid w:val="002F4C83"/>
    <w:rsid w:val="00326E1D"/>
    <w:rsid w:val="00493BA1"/>
    <w:rsid w:val="004A1E52"/>
    <w:rsid w:val="00567055"/>
    <w:rsid w:val="00594C0C"/>
    <w:rsid w:val="005C2497"/>
    <w:rsid w:val="005C3366"/>
    <w:rsid w:val="005D45DA"/>
    <w:rsid w:val="00701AAD"/>
    <w:rsid w:val="008A2EA3"/>
    <w:rsid w:val="008B362D"/>
    <w:rsid w:val="008C0F71"/>
    <w:rsid w:val="00A674E7"/>
    <w:rsid w:val="00AA49A6"/>
    <w:rsid w:val="00B67C59"/>
    <w:rsid w:val="00B72B05"/>
    <w:rsid w:val="00BE0A71"/>
    <w:rsid w:val="00C12AC5"/>
    <w:rsid w:val="00C953B6"/>
    <w:rsid w:val="00CA60E8"/>
    <w:rsid w:val="00D10FB8"/>
    <w:rsid w:val="00E73809"/>
    <w:rsid w:val="00EA21A3"/>
    <w:rsid w:val="00F000FD"/>
    <w:rsid w:val="00F06ED8"/>
    <w:rsid w:val="00FE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D75D6D-F3A0-4DCB-B4F0-B2F949F9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B362D"/>
    <w:pPr>
      <w:spacing w:after="120"/>
      <w:ind w:left="360"/>
    </w:pPr>
  </w:style>
  <w:style w:type="paragraph" w:styleId="BodyTextIndent3">
    <w:name w:val="Body Text Indent 3"/>
    <w:basedOn w:val="Normal"/>
    <w:rsid w:val="008B362D"/>
    <w:pPr>
      <w:spacing w:after="120"/>
      <w:ind w:left="360"/>
    </w:pPr>
    <w:rPr>
      <w:sz w:val="16"/>
      <w:szCs w:val="16"/>
    </w:rPr>
  </w:style>
  <w:style w:type="paragraph" w:styleId="BodyTextIndent2">
    <w:name w:val="Body Text Indent 2"/>
    <w:basedOn w:val="Normal"/>
    <w:rsid w:val="008B362D"/>
    <w:pPr>
      <w:spacing w:after="120" w:line="480" w:lineRule="auto"/>
      <w:ind w:left="360"/>
    </w:pPr>
  </w:style>
  <w:style w:type="paragraph" w:customStyle="1" w:styleId="JCARMainSourceNote">
    <w:name w:val="JCAR Main Source Note"/>
    <w:basedOn w:val="Normal"/>
    <w:rsid w:val="00B67C59"/>
  </w:style>
  <w:style w:type="paragraph" w:customStyle="1" w:styleId="JCARSourceNote">
    <w:name w:val="JCAR Source Note"/>
    <w:basedOn w:val="Normal"/>
    <w:rsid w:val="00B6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Marines Debra L.</cp:lastModifiedBy>
  <cp:revision>4</cp:revision>
  <dcterms:created xsi:type="dcterms:W3CDTF">2018-02-20T15:19:00Z</dcterms:created>
  <dcterms:modified xsi:type="dcterms:W3CDTF">2019-06-20T15:55:00Z</dcterms:modified>
</cp:coreProperties>
</file>