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30" w:rsidRDefault="00891930" w:rsidP="00891930">
      <w:pPr>
        <w:widowControl w:val="0"/>
        <w:autoSpaceDE w:val="0"/>
        <w:autoSpaceDN w:val="0"/>
        <w:adjustRightInd w:val="0"/>
      </w:pPr>
    </w:p>
    <w:p w:rsidR="00891930" w:rsidRDefault="00891930" w:rsidP="00891930">
      <w:pPr>
        <w:widowControl w:val="0"/>
        <w:autoSpaceDE w:val="0"/>
        <w:autoSpaceDN w:val="0"/>
        <w:adjustRightInd w:val="0"/>
      </w:pPr>
      <w:r>
        <w:rPr>
          <w:b/>
          <w:bCs/>
        </w:rPr>
        <w:t>Section 2007.90  Requirements for Replacement</w:t>
      </w:r>
      <w:r>
        <w:t xml:space="preserve"> </w:t>
      </w:r>
    </w:p>
    <w:p w:rsidR="00891930" w:rsidRDefault="00891930" w:rsidP="00891930">
      <w:pPr>
        <w:widowControl w:val="0"/>
        <w:autoSpaceDE w:val="0"/>
        <w:autoSpaceDN w:val="0"/>
        <w:adjustRightInd w:val="0"/>
      </w:pPr>
    </w:p>
    <w:p w:rsidR="00891930" w:rsidRDefault="00891930" w:rsidP="00891930">
      <w:pPr>
        <w:widowControl w:val="0"/>
        <w:autoSpaceDE w:val="0"/>
        <w:autoSpaceDN w:val="0"/>
        <w:adjustRightInd w:val="0"/>
        <w:ind w:left="1440" w:hanging="720"/>
      </w:pPr>
      <w:r>
        <w:t>a)</w:t>
      </w:r>
      <w:r>
        <w:tab/>
        <w:t xml:space="preserve">Application forms shall include a question designed to elicit information as to whether the insurance to be issued is intended to replace any other accident and health insurance presently in force.  A supplementary application or other form to be signed by the applicant containing such a question may be used. </w:t>
      </w:r>
    </w:p>
    <w:p w:rsidR="00EF670E" w:rsidRDefault="00EF670E" w:rsidP="00891930">
      <w:pPr>
        <w:widowControl w:val="0"/>
        <w:autoSpaceDE w:val="0"/>
        <w:autoSpaceDN w:val="0"/>
        <w:adjustRightInd w:val="0"/>
        <w:ind w:left="1440" w:hanging="720"/>
      </w:pPr>
    </w:p>
    <w:p w:rsidR="00891930" w:rsidRDefault="00891930" w:rsidP="00891930">
      <w:pPr>
        <w:widowControl w:val="0"/>
        <w:autoSpaceDE w:val="0"/>
        <w:autoSpaceDN w:val="0"/>
        <w:adjustRightInd w:val="0"/>
        <w:ind w:left="1440" w:hanging="720"/>
      </w:pPr>
      <w:r>
        <w:t>b)</w:t>
      </w:r>
      <w:r>
        <w:tab/>
        <w:t xml:space="preserve">Upon determining that a sale will involve replacement, an insurer, other than a direct response insurer, or its agent shall furnish the applicant, prior to issuance or delivery of the policy, the notice described in subsection (d).  One copy of </w:t>
      </w:r>
      <w:r w:rsidR="00774525">
        <w:t xml:space="preserve">the </w:t>
      </w:r>
      <w:r>
        <w:t xml:space="preserve">notice shall be retained by the applicant and an additional copy signed by the applicant shall be retained by the insurer. A direct response insurer shall deliver to the applicant upon issuance of the policy, the notice described in subsection (e). </w:t>
      </w:r>
    </w:p>
    <w:p w:rsidR="00EF670E" w:rsidRDefault="00EF670E" w:rsidP="00891930">
      <w:pPr>
        <w:widowControl w:val="0"/>
        <w:autoSpaceDE w:val="0"/>
        <w:autoSpaceDN w:val="0"/>
        <w:adjustRightInd w:val="0"/>
        <w:ind w:left="1440" w:hanging="720"/>
      </w:pPr>
    </w:p>
    <w:p w:rsidR="00891930" w:rsidRDefault="00891930" w:rsidP="00891930">
      <w:pPr>
        <w:widowControl w:val="0"/>
        <w:autoSpaceDE w:val="0"/>
        <w:autoSpaceDN w:val="0"/>
        <w:adjustRightInd w:val="0"/>
        <w:ind w:left="1440" w:hanging="720"/>
      </w:pPr>
      <w:r>
        <w:t>c)</w:t>
      </w:r>
      <w:r>
        <w:tab/>
        <w:t xml:space="preserve">In no event, however, will such a notice be required in the solicitation of the following types of policies:  accident only and single premium nonrenewable policies. </w:t>
      </w:r>
    </w:p>
    <w:p w:rsidR="00EF670E" w:rsidRDefault="00EF670E" w:rsidP="00E616D8">
      <w:pPr>
        <w:widowControl w:val="0"/>
        <w:autoSpaceDE w:val="0"/>
        <w:autoSpaceDN w:val="0"/>
        <w:adjustRightInd w:val="0"/>
        <w:ind w:left="1440" w:hanging="720"/>
      </w:pPr>
    </w:p>
    <w:p w:rsidR="00E616D8" w:rsidRDefault="00891930" w:rsidP="00E616D8">
      <w:pPr>
        <w:widowControl w:val="0"/>
        <w:autoSpaceDE w:val="0"/>
        <w:autoSpaceDN w:val="0"/>
        <w:adjustRightInd w:val="0"/>
        <w:ind w:left="1440" w:hanging="720"/>
      </w:pPr>
      <w:r>
        <w:t>d)</w:t>
      </w:r>
      <w:r>
        <w:tab/>
        <w:t>The notice required by subsection (b) for an insurer, other than a direct response insurer, shall provide, in substantially the following form:</w:t>
      </w:r>
    </w:p>
    <w:p w:rsidR="00EF670E" w:rsidRDefault="00EF670E" w:rsidP="00E616D8">
      <w:pPr>
        <w:widowControl w:val="0"/>
        <w:autoSpaceDE w:val="0"/>
        <w:autoSpaceDN w:val="0"/>
        <w:adjustRightInd w:val="0"/>
        <w:ind w:left="1440" w:hanging="720"/>
        <w:jc w:val="center"/>
      </w:pPr>
    </w:p>
    <w:p w:rsidR="00891930" w:rsidRDefault="00891930" w:rsidP="00774525">
      <w:pPr>
        <w:widowControl w:val="0"/>
        <w:autoSpaceDE w:val="0"/>
        <w:autoSpaceDN w:val="0"/>
        <w:adjustRightInd w:val="0"/>
        <w:ind w:left="1440"/>
        <w:jc w:val="center"/>
      </w:pPr>
      <w:r>
        <w:t>NOTICE TO APPLICANT REGARDING REPLACEMENT</w:t>
      </w:r>
    </w:p>
    <w:p w:rsidR="00891930" w:rsidRDefault="00891930" w:rsidP="00774525">
      <w:pPr>
        <w:widowControl w:val="0"/>
        <w:autoSpaceDE w:val="0"/>
        <w:autoSpaceDN w:val="0"/>
        <w:adjustRightInd w:val="0"/>
        <w:ind w:left="1440"/>
        <w:jc w:val="center"/>
      </w:pPr>
      <w:r>
        <w:t>OF ACCIDENT AND HEALTH INSURANCE</w:t>
      </w:r>
    </w:p>
    <w:p w:rsidR="00EF670E" w:rsidRDefault="00EF670E" w:rsidP="00891930">
      <w:pPr>
        <w:widowControl w:val="0"/>
        <w:autoSpaceDE w:val="0"/>
        <w:autoSpaceDN w:val="0"/>
        <w:adjustRightInd w:val="0"/>
        <w:ind w:left="1440" w:hanging="720"/>
        <w:jc w:val="center"/>
      </w:pPr>
    </w:p>
    <w:p w:rsidR="00891930" w:rsidRDefault="00891930" w:rsidP="00E616D8">
      <w:pPr>
        <w:widowControl w:val="0"/>
        <w:autoSpaceDE w:val="0"/>
        <w:autoSpaceDN w:val="0"/>
        <w:adjustRightInd w:val="0"/>
        <w:ind w:left="1440"/>
      </w:pPr>
      <w:r>
        <w:t xml:space="preserve">According to (your application) (information you have furnished), you intend to lapse or otherwise terminate existing accident and health insurance and replace it with a policy to be issued by (Company Name) Insurance Company. For your own information and protection, you should be aware of and seriously consider certain factors which may affect the insurance protection available to you under the new policy. </w:t>
      </w:r>
    </w:p>
    <w:p w:rsidR="00EF670E" w:rsidRDefault="00EF670E" w:rsidP="00E616D8">
      <w:pPr>
        <w:widowControl w:val="0"/>
        <w:autoSpaceDE w:val="0"/>
        <w:autoSpaceDN w:val="0"/>
        <w:adjustRightInd w:val="0"/>
        <w:ind w:left="1440"/>
      </w:pPr>
    </w:p>
    <w:p w:rsidR="00891930" w:rsidRDefault="00891930" w:rsidP="00891930">
      <w:pPr>
        <w:widowControl w:val="0"/>
        <w:autoSpaceDE w:val="0"/>
        <w:autoSpaceDN w:val="0"/>
        <w:adjustRightInd w:val="0"/>
        <w:ind w:left="2160" w:hanging="720"/>
      </w:pPr>
      <w:r>
        <w:t>1)</w:t>
      </w:r>
      <w:r>
        <w:tab/>
        <w:t xml:space="preserve">Health conditions </w:t>
      </w:r>
      <w:r w:rsidR="006C0819">
        <w:t>that</w:t>
      </w:r>
      <w:r>
        <w:t xml:space="preserve"> you may presently have (preexisting conditions) may not be immediately or fully covered under the new policy</w:t>
      </w:r>
      <w:r w:rsidR="00774525">
        <w:t xml:space="preserve"> insofar as excepted benefit policies and grandfathered health plans are concerned</w:t>
      </w:r>
      <w:r>
        <w:t xml:space="preserve">. </w:t>
      </w:r>
      <w:r w:rsidR="00774525" w:rsidRPr="00195EA1">
        <w:t xml:space="preserve">Generally, excepted benefits involve coverage only for accident or disability income insurance, or coverage issued as a supplement to liability insurance, or other separately offered coverage such as dental or vision benefits. </w:t>
      </w:r>
      <w:r>
        <w:t xml:space="preserve"> This could result in denial or delay of a claim for benefits under the new policy, whereas a similar claim might have been payable under your present policy. </w:t>
      </w:r>
    </w:p>
    <w:p w:rsidR="00EF670E" w:rsidRDefault="00EF670E" w:rsidP="00891930">
      <w:pPr>
        <w:widowControl w:val="0"/>
        <w:autoSpaceDE w:val="0"/>
        <w:autoSpaceDN w:val="0"/>
        <w:adjustRightInd w:val="0"/>
        <w:ind w:left="2160" w:hanging="720"/>
      </w:pPr>
    </w:p>
    <w:p w:rsidR="00891930" w:rsidRDefault="00891930" w:rsidP="00891930">
      <w:pPr>
        <w:widowControl w:val="0"/>
        <w:autoSpaceDE w:val="0"/>
        <w:autoSpaceDN w:val="0"/>
        <w:adjustRightInd w:val="0"/>
        <w:ind w:left="2160" w:hanging="720"/>
      </w:pPr>
      <w:r>
        <w:t>2)</w:t>
      </w:r>
      <w:r>
        <w:tab/>
        <w:t xml:space="preserve">You may wish to secure the advice of your present insurer or its agent regarding the proposed replacement of your present policy.  This is not only your right, but it is also in your best interests to make sure you understand all the relevant factors involved in replacing your present </w:t>
      </w:r>
      <w:r>
        <w:lastRenderedPageBreak/>
        <w:t xml:space="preserve">coverage. </w:t>
      </w:r>
    </w:p>
    <w:p w:rsidR="00EF670E" w:rsidRDefault="00EF670E" w:rsidP="00891930">
      <w:pPr>
        <w:widowControl w:val="0"/>
        <w:autoSpaceDE w:val="0"/>
        <w:autoSpaceDN w:val="0"/>
        <w:adjustRightInd w:val="0"/>
        <w:ind w:left="2160" w:hanging="720"/>
      </w:pPr>
    </w:p>
    <w:p w:rsidR="00891930" w:rsidRDefault="00891930" w:rsidP="00891930">
      <w:pPr>
        <w:widowControl w:val="0"/>
        <w:autoSpaceDE w:val="0"/>
        <w:autoSpaceDN w:val="0"/>
        <w:adjustRightInd w:val="0"/>
        <w:ind w:left="2160" w:hanging="720"/>
      </w:pPr>
      <w:r>
        <w:t>3)</w:t>
      </w:r>
      <w:r>
        <w:tab/>
        <w:t xml:space="preserve">If, after due consideration, you still wish to terminate your present policy and replace it with new coverage, be certain to truthfully and completely answer all questions on the application concerning your medical/health history.  Failure to include all material medical information on an application may provide a basis for the Company to deny any future claims and to refund your premium as though your policy had never been in force.  After the application has been completed and before you sign it, re-read it carefully to be certain that all information has been properly recorded. </w:t>
      </w:r>
    </w:p>
    <w:p w:rsidR="00891930" w:rsidRDefault="00891930" w:rsidP="00891930">
      <w:pPr>
        <w:widowControl w:val="0"/>
        <w:autoSpaceDE w:val="0"/>
        <w:autoSpaceDN w:val="0"/>
        <w:adjustRightInd w:val="0"/>
        <w:ind w:left="2160" w:hanging="720"/>
      </w:pPr>
    </w:p>
    <w:p w:rsidR="00891930" w:rsidRDefault="00891930" w:rsidP="00E616D8">
      <w:pPr>
        <w:widowControl w:val="0"/>
        <w:autoSpaceDE w:val="0"/>
        <w:autoSpaceDN w:val="0"/>
        <w:adjustRightInd w:val="0"/>
        <w:ind w:left="1440"/>
      </w:pPr>
      <w:r>
        <w:t xml:space="preserve">The above "Notice to Applicant" was delivered to me on: </w:t>
      </w:r>
    </w:p>
    <w:p w:rsidR="00891930" w:rsidRDefault="00891930" w:rsidP="00891930">
      <w:pPr>
        <w:widowControl w:val="0"/>
        <w:autoSpaceDE w:val="0"/>
        <w:autoSpaceDN w:val="0"/>
        <w:adjustRightInd w:val="0"/>
        <w:ind w:left="1440" w:hanging="720"/>
      </w:pPr>
    </w:p>
    <w:tbl>
      <w:tblPr>
        <w:tblW w:w="0" w:type="auto"/>
        <w:tblInd w:w="4497" w:type="dxa"/>
        <w:tblLook w:val="0000" w:firstRow="0" w:lastRow="0" w:firstColumn="0" w:lastColumn="0" w:noHBand="0" w:noVBand="0"/>
      </w:tblPr>
      <w:tblGrid>
        <w:gridCol w:w="3648"/>
      </w:tblGrid>
      <w:tr w:rsidR="00E616D8">
        <w:tc>
          <w:tcPr>
            <w:tcW w:w="3648" w:type="dxa"/>
            <w:tcBorders>
              <w:bottom w:val="single" w:sz="4" w:space="0" w:color="auto"/>
            </w:tcBorders>
          </w:tcPr>
          <w:p w:rsidR="00E616D8" w:rsidRDefault="00E616D8" w:rsidP="00891930">
            <w:pPr>
              <w:widowControl w:val="0"/>
              <w:autoSpaceDE w:val="0"/>
              <w:autoSpaceDN w:val="0"/>
              <w:adjustRightInd w:val="0"/>
            </w:pPr>
          </w:p>
        </w:tc>
      </w:tr>
      <w:tr w:rsidR="00E616D8">
        <w:tc>
          <w:tcPr>
            <w:tcW w:w="3648" w:type="dxa"/>
            <w:tcBorders>
              <w:top w:val="single" w:sz="4" w:space="0" w:color="auto"/>
            </w:tcBorders>
          </w:tcPr>
          <w:p w:rsidR="00E616D8" w:rsidRDefault="00E616D8" w:rsidP="00E616D8">
            <w:pPr>
              <w:widowControl w:val="0"/>
              <w:autoSpaceDE w:val="0"/>
              <w:autoSpaceDN w:val="0"/>
              <w:adjustRightInd w:val="0"/>
              <w:jc w:val="center"/>
            </w:pPr>
            <w:r>
              <w:t>Date</w:t>
            </w:r>
          </w:p>
        </w:tc>
      </w:tr>
      <w:tr w:rsidR="00E616D8">
        <w:tc>
          <w:tcPr>
            <w:tcW w:w="3648" w:type="dxa"/>
            <w:tcBorders>
              <w:bottom w:val="single" w:sz="4" w:space="0" w:color="auto"/>
            </w:tcBorders>
          </w:tcPr>
          <w:p w:rsidR="00E616D8" w:rsidRDefault="00E616D8" w:rsidP="00891930">
            <w:pPr>
              <w:widowControl w:val="0"/>
              <w:autoSpaceDE w:val="0"/>
              <w:autoSpaceDN w:val="0"/>
              <w:adjustRightInd w:val="0"/>
            </w:pPr>
          </w:p>
        </w:tc>
      </w:tr>
      <w:tr w:rsidR="00E616D8">
        <w:tc>
          <w:tcPr>
            <w:tcW w:w="3648" w:type="dxa"/>
            <w:tcBorders>
              <w:top w:val="single" w:sz="4" w:space="0" w:color="auto"/>
            </w:tcBorders>
          </w:tcPr>
          <w:p w:rsidR="00E616D8" w:rsidRDefault="00E616D8" w:rsidP="00E616D8">
            <w:pPr>
              <w:widowControl w:val="0"/>
              <w:autoSpaceDE w:val="0"/>
              <w:autoSpaceDN w:val="0"/>
              <w:adjustRightInd w:val="0"/>
              <w:jc w:val="center"/>
            </w:pPr>
            <w:r>
              <w:t>Applicant's Signature</w:t>
            </w:r>
          </w:p>
        </w:tc>
      </w:tr>
    </w:tbl>
    <w:p w:rsidR="00891930" w:rsidRDefault="00891930" w:rsidP="00891930">
      <w:pPr>
        <w:widowControl w:val="0"/>
        <w:autoSpaceDE w:val="0"/>
        <w:autoSpaceDN w:val="0"/>
        <w:adjustRightInd w:val="0"/>
        <w:ind w:left="1440" w:hanging="720"/>
      </w:pPr>
    </w:p>
    <w:p w:rsidR="00891930" w:rsidRDefault="00891930" w:rsidP="00891930">
      <w:pPr>
        <w:widowControl w:val="0"/>
        <w:autoSpaceDE w:val="0"/>
        <w:autoSpaceDN w:val="0"/>
        <w:adjustRightInd w:val="0"/>
        <w:ind w:left="1440" w:hanging="720"/>
      </w:pPr>
      <w:r>
        <w:t>e)</w:t>
      </w:r>
      <w:r>
        <w:tab/>
        <w:t xml:space="preserve">The notice required by subsection (b) for a direct response insurer shall be as follows: </w:t>
      </w:r>
    </w:p>
    <w:p w:rsidR="00EF670E" w:rsidRDefault="00EF670E" w:rsidP="00E616D8">
      <w:pPr>
        <w:widowControl w:val="0"/>
        <w:autoSpaceDE w:val="0"/>
        <w:autoSpaceDN w:val="0"/>
        <w:adjustRightInd w:val="0"/>
        <w:ind w:left="1440"/>
      </w:pPr>
    </w:p>
    <w:p w:rsidR="00891930" w:rsidRDefault="00891930" w:rsidP="00E616D8">
      <w:pPr>
        <w:widowControl w:val="0"/>
        <w:autoSpaceDE w:val="0"/>
        <w:autoSpaceDN w:val="0"/>
        <w:adjustRightInd w:val="0"/>
        <w:ind w:left="1440"/>
      </w:pPr>
      <w:r>
        <w:t xml:space="preserve">According to (your application) (information you have furnished) you intend to lapse or otherwise terminate existing accident and health insurance and replace it with the policy delivered herewith issued by (Company Name) Insurance Company.  Your new policy provides 10 days within which you may decide without cost whether you desire to keep the policy.  For your own information and protection you should be aware of and seriously consider certain factors which may affect the insurance protection available to you under the new policy. </w:t>
      </w:r>
    </w:p>
    <w:p w:rsidR="00EF670E" w:rsidRDefault="00EF670E" w:rsidP="00E616D8">
      <w:pPr>
        <w:widowControl w:val="0"/>
        <w:autoSpaceDE w:val="0"/>
        <w:autoSpaceDN w:val="0"/>
        <w:adjustRightInd w:val="0"/>
        <w:ind w:left="1440"/>
      </w:pPr>
    </w:p>
    <w:p w:rsidR="00891930" w:rsidRDefault="00891930" w:rsidP="00891930">
      <w:pPr>
        <w:widowControl w:val="0"/>
        <w:autoSpaceDE w:val="0"/>
        <w:autoSpaceDN w:val="0"/>
        <w:adjustRightInd w:val="0"/>
        <w:ind w:left="2160" w:hanging="720"/>
      </w:pPr>
      <w:r>
        <w:t>1)</w:t>
      </w:r>
      <w:r>
        <w:tab/>
        <w:t xml:space="preserve">Health conditions </w:t>
      </w:r>
      <w:r w:rsidR="006C0819">
        <w:t>that</w:t>
      </w:r>
      <w:r>
        <w:t xml:space="preserve"> you may presently have (preexisting conditions)</w:t>
      </w:r>
      <w:r w:rsidR="00774525">
        <w:t>,</w:t>
      </w:r>
      <w:r>
        <w:t xml:space="preserve"> may not be immediately or fully covered under the new policy</w:t>
      </w:r>
      <w:r w:rsidR="00774525">
        <w:t xml:space="preserve"> insofar as excepted benefit policies and grandfathered health plans are concerned</w:t>
      </w:r>
      <w:r>
        <w:t xml:space="preserve">. </w:t>
      </w:r>
      <w:r w:rsidR="00774525" w:rsidRPr="00774525">
        <w:t>Generally, excepted benefits involve coverage only for accident or disability income insurance, or coverage issued as a supplement to liability insurance, or other separately offered coverage such as dental or vision benefits.</w:t>
      </w:r>
      <w:r>
        <w:t xml:space="preserve"> This could result in denial or delay of a claim for benefits under the new policy, whereas a similar claim might have been payable under your present policy. </w:t>
      </w:r>
    </w:p>
    <w:p w:rsidR="00EF670E" w:rsidRDefault="00EF670E" w:rsidP="00891930">
      <w:pPr>
        <w:widowControl w:val="0"/>
        <w:autoSpaceDE w:val="0"/>
        <w:autoSpaceDN w:val="0"/>
        <w:adjustRightInd w:val="0"/>
        <w:ind w:left="2160" w:hanging="720"/>
      </w:pPr>
    </w:p>
    <w:p w:rsidR="00891930" w:rsidRDefault="00891930" w:rsidP="00891930">
      <w:pPr>
        <w:widowControl w:val="0"/>
        <w:autoSpaceDE w:val="0"/>
        <w:autoSpaceDN w:val="0"/>
        <w:adjustRightInd w:val="0"/>
        <w:ind w:left="2160" w:hanging="720"/>
      </w:pPr>
      <w:r>
        <w:t>2)</w:t>
      </w:r>
      <w:r>
        <w:tab/>
        <w:t xml:space="preserve">You may wish to secure the advice of your present insurer or its agent regarding the proposed replacement of your present policy.  This is not only your right, but it is also in your best interests to make sure you understand all the relevant factors involved in replacing your present coverage. </w:t>
      </w:r>
    </w:p>
    <w:p w:rsidR="00EF670E" w:rsidRDefault="00EF670E" w:rsidP="00891930">
      <w:pPr>
        <w:widowControl w:val="0"/>
        <w:autoSpaceDE w:val="0"/>
        <w:autoSpaceDN w:val="0"/>
        <w:adjustRightInd w:val="0"/>
        <w:ind w:left="2160" w:hanging="720"/>
      </w:pPr>
    </w:p>
    <w:p w:rsidR="00891930" w:rsidRDefault="00891930" w:rsidP="00891930">
      <w:pPr>
        <w:widowControl w:val="0"/>
        <w:autoSpaceDE w:val="0"/>
        <w:autoSpaceDN w:val="0"/>
        <w:adjustRightInd w:val="0"/>
        <w:ind w:left="2160" w:hanging="720"/>
      </w:pPr>
      <w:r>
        <w:lastRenderedPageBreak/>
        <w:t>3)</w:t>
      </w:r>
      <w:r>
        <w:tab/>
        <w:t xml:space="preserve">(To be included only if the application is attached to the policy.) If, after due consideration, you still wish to terminate your present policy and replace it with new coverage, read the copy of the application attached to your new policy and be sure that all questions are answered fully and correctly.  Omissions or misstatements in the application could cause an otherwise valid claim to be denied.  Carefully check the application and write to (Company Name and Address) within 10 days if any information is not correct and complete, or if any past medical history has been left out of the application. </w:t>
      </w:r>
    </w:p>
    <w:p w:rsidR="00891930" w:rsidRDefault="00891930" w:rsidP="00891930">
      <w:pPr>
        <w:widowControl w:val="0"/>
        <w:autoSpaceDE w:val="0"/>
        <w:autoSpaceDN w:val="0"/>
        <w:adjustRightInd w:val="0"/>
      </w:pPr>
    </w:p>
    <w:tbl>
      <w:tblPr>
        <w:tblW w:w="0" w:type="auto"/>
        <w:tblInd w:w="4497" w:type="dxa"/>
        <w:tblLook w:val="0000" w:firstRow="0" w:lastRow="0" w:firstColumn="0" w:lastColumn="0" w:noHBand="0" w:noVBand="0"/>
      </w:tblPr>
      <w:tblGrid>
        <w:gridCol w:w="3648"/>
      </w:tblGrid>
      <w:tr w:rsidR="00E616D8">
        <w:tc>
          <w:tcPr>
            <w:tcW w:w="3648" w:type="dxa"/>
            <w:tcBorders>
              <w:bottom w:val="single" w:sz="4" w:space="0" w:color="auto"/>
            </w:tcBorders>
          </w:tcPr>
          <w:p w:rsidR="00E616D8" w:rsidRDefault="00E616D8" w:rsidP="002C7C6A">
            <w:pPr>
              <w:widowControl w:val="0"/>
              <w:autoSpaceDE w:val="0"/>
              <w:autoSpaceDN w:val="0"/>
              <w:adjustRightInd w:val="0"/>
            </w:pPr>
          </w:p>
        </w:tc>
      </w:tr>
      <w:tr w:rsidR="00E616D8">
        <w:tc>
          <w:tcPr>
            <w:tcW w:w="3648" w:type="dxa"/>
            <w:tcBorders>
              <w:top w:val="single" w:sz="4" w:space="0" w:color="auto"/>
            </w:tcBorders>
          </w:tcPr>
          <w:p w:rsidR="00E616D8" w:rsidRDefault="00E616D8" w:rsidP="002C7C6A">
            <w:pPr>
              <w:widowControl w:val="0"/>
              <w:autoSpaceDE w:val="0"/>
              <w:autoSpaceDN w:val="0"/>
              <w:adjustRightInd w:val="0"/>
              <w:jc w:val="center"/>
            </w:pPr>
            <w:r>
              <w:t>Company Name</w:t>
            </w:r>
          </w:p>
        </w:tc>
      </w:tr>
    </w:tbl>
    <w:p w:rsidR="00774525" w:rsidRDefault="00774525" w:rsidP="00891930">
      <w:pPr>
        <w:widowControl w:val="0"/>
        <w:autoSpaceDE w:val="0"/>
        <w:autoSpaceDN w:val="0"/>
        <w:adjustRightInd w:val="0"/>
        <w:ind w:left="1440" w:hanging="720"/>
      </w:pPr>
    </w:p>
    <w:p w:rsidR="00C81371" w:rsidRDefault="00C81371" w:rsidP="00891930">
      <w:pPr>
        <w:widowControl w:val="0"/>
        <w:autoSpaceDE w:val="0"/>
        <w:autoSpaceDN w:val="0"/>
        <w:adjustRightInd w:val="0"/>
        <w:ind w:left="1440" w:hanging="720"/>
      </w:pPr>
    </w:p>
    <w:p w:rsidR="00774525" w:rsidRPr="00D55B37" w:rsidRDefault="00774525">
      <w:pPr>
        <w:pStyle w:val="JCARSourceNote"/>
        <w:ind w:left="720"/>
      </w:pPr>
      <w:r w:rsidRPr="00D55B37">
        <w:t xml:space="preserve">(Source:  </w:t>
      </w:r>
      <w:r>
        <w:t>Amended</w:t>
      </w:r>
      <w:r w:rsidRPr="00D55B37">
        <w:t xml:space="preserve"> at </w:t>
      </w:r>
      <w:r>
        <w:t>3</w:t>
      </w:r>
      <w:r w:rsidR="00510361">
        <w:t>8</w:t>
      </w:r>
      <w:r>
        <w:t xml:space="preserve"> I</w:t>
      </w:r>
      <w:r w:rsidRPr="00D55B37">
        <w:t xml:space="preserve">ll. Reg. </w:t>
      </w:r>
      <w:r w:rsidR="00A91263">
        <w:t>2138</w:t>
      </w:r>
      <w:r w:rsidRPr="00D55B37">
        <w:t xml:space="preserve">, effective </w:t>
      </w:r>
      <w:bookmarkStart w:id="0" w:name="_GoBack"/>
      <w:r w:rsidR="00A91263">
        <w:t>January 2, 2014</w:t>
      </w:r>
      <w:bookmarkEnd w:id="0"/>
      <w:r w:rsidRPr="00D55B37">
        <w:t>)</w:t>
      </w:r>
    </w:p>
    <w:sectPr w:rsidR="00774525" w:rsidRPr="00D55B37" w:rsidSect="008919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930"/>
    <w:rsid w:val="001532DB"/>
    <w:rsid w:val="002C7C6A"/>
    <w:rsid w:val="00510361"/>
    <w:rsid w:val="005C3366"/>
    <w:rsid w:val="006C0819"/>
    <w:rsid w:val="00774525"/>
    <w:rsid w:val="0077509D"/>
    <w:rsid w:val="00891930"/>
    <w:rsid w:val="00A91263"/>
    <w:rsid w:val="00C81371"/>
    <w:rsid w:val="00E52F39"/>
    <w:rsid w:val="00E616D8"/>
    <w:rsid w:val="00E8367D"/>
    <w:rsid w:val="00EF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1961D0-9F29-4B45-A49D-82C9DCE5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4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2007</vt:lpstr>
    </vt:vector>
  </TitlesOfParts>
  <Company>State of Illinois</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2007</dc:title>
  <dc:subject/>
  <dc:creator>Illinois General Assembly</dc:creator>
  <cp:keywords/>
  <dc:description/>
  <cp:lastModifiedBy>King, Melissa A.</cp:lastModifiedBy>
  <cp:revision>3</cp:revision>
  <dcterms:created xsi:type="dcterms:W3CDTF">2014-01-08T17:33:00Z</dcterms:created>
  <dcterms:modified xsi:type="dcterms:W3CDTF">2014-01-13T20:47:00Z</dcterms:modified>
</cp:coreProperties>
</file>