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29F" w:rsidRDefault="0070229F" w:rsidP="0070229F">
      <w:pPr>
        <w:rPr>
          <w:b/>
        </w:rPr>
      </w:pPr>
      <w:bookmarkStart w:id="0" w:name="_GoBack"/>
      <w:bookmarkEnd w:id="0"/>
    </w:p>
    <w:p w:rsidR="00551F96" w:rsidRPr="0070229F" w:rsidRDefault="00551F96" w:rsidP="0070229F">
      <w:pPr>
        <w:rPr>
          <w:b/>
        </w:rPr>
      </w:pPr>
      <w:r w:rsidRPr="0070229F">
        <w:rPr>
          <w:b/>
        </w:rPr>
        <w:t>Section 1413.40  Conditions</w:t>
      </w:r>
    </w:p>
    <w:p w:rsidR="00551F96" w:rsidRPr="0070229F" w:rsidRDefault="00551F96" w:rsidP="0070229F"/>
    <w:p w:rsidR="00551F96" w:rsidRPr="0070229F" w:rsidRDefault="00551F96" w:rsidP="0070229F">
      <w:pPr>
        <w:ind w:left="1440" w:hanging="720"/>
      </w:pPr>
      <w:r w:rsidRPr="0070229F">
        <w:t>a)</w:t>
      </w:r>
      <w:r w:rsidRPr="0070229F">
        <w:tab/>
        <w:t xml:space="preserve">For each plan of insurance with separate rates for preferred and standard nonsmoker lives, an insurer may use the Super Preferred Nonsmoker, Preferred Nonsmoker, and Residual Standard Nonsmoker </w:t>
      </w:r>
      <w:r w:rsidR="008350D2">
        <w:t>T</w:t>
      </w:r>
      <w:r w:rsidRPr="0070229F">
        <w:t xml:space="preserve">ables to substitute for the nonsmoker mortality table found in the 2001 CSO Mortality Table to determine minimum reserves. </w:t>
      </w:r>
      <w:r w:rsidR="0070229F">
        <w:t xml:space="preserve"> </w:t>
      </w:r>
      <w:r w:rsidRPr="0070229F">
        <w:t>At the time of election and annually thereafter, except for business valued under the Residual Standard Nonsmoker Table, the appointed actuary shall certify that:</w:t>
      </w:r>
    </w:p>
    <w:p w:rsidR="00551F96" w:rsidRPr="0070229F" w:rsidRDefault="00551F96" w:rsidP="0070229F"/>
    <w:p w:rsidR="00551F96" w:rsidRPr="0070229F" w:rsidRDefault="00551F96" w:rsidP="0070229F">
      <w:pPr>
        <w:ind w:left="2160" w:hanging="720"/>
      </w:pPr>
      <w:r w:rsidRPr="0070229F">
        <w:t>1)</w:t>
      </w:r>
      <w:r w:rsidRPr="0070229F">
        <w:tab/>
        <w:t>The present value of death benefits over the next 10 years after the valuation date, using the anticipated mortality experience without</w:t>
      </w:r>
      <w:r w:rsidR="0070229F">
        <w:t xml:space="preserve"> </w:t>
      </w:r>
      <w:r w:rsidRPr="0070229F">
        <w:t>recognition of mortality improvement beyond the valuation date for each</w:t>
      </w:r>
      <w:r w:rsidR="0070229F">
        <w:t xml:space="preserve"> </w:t>
      </w:r>
      <w:r w:rsidRPr="0070229F">
        <w:t xml:space="preserve">class, is less than the present value of death benefits using the valuation basic table corresponding to the valuation table being used for that class. </w:t>
      </w:r>
    </w:p>
    <w:p w:rsidR="00551F96" w:rsidRPr="0070229F" w:rsidRDefault="00551F96" w:rsidP="0070229F"/>
    <w:p w:rsidR="00551F96" w:rsidRPr="0070229F" w:rsidRDefault="00551F96" w:rsidP="0070229F">
      <w:pPr>
        <w:ind w:left="2160" w:hanging="720"/>
      </w:pPr>
      <w:r w:rsidRPr="0070229F">
        <w:t>2)</w:t>
      </w:r>
      <w:r w:rsidRPr="0070229F">
        <w:tab/>
        <w:t xml:space="preserve">The present value of death benefits over the future life of the contracts, using anticipated mortality experience without recognition of mortality improvement beyond the valuation date for each class, is less than the present value of death benefits using the valuation basic table corresponding to the valuation table being used for that class. </w:t>
      </w:r>
    </w:p>
    <w:p w:rsidR="00551F96" w:rsidRPr="0070229F" w:rsidRDefault="00551F96" w:rsidP="0070229F"/>
    <w:p w:rsidR="00551F96" w:rsidRPr="0070229F" w:rsidRDefault="00551F96" w:rsidP="0070229F">
      <w:pPr>
        <w:ind w:left="1440" w:hanging="720"/>
      </w:pPr>
      <w:r w:rsidRPr="0070229F">
        <w:t>b)</w:t>
      </w:r>
      <w:r w:rsidRPr="0070229F">
        <w:tab/>
        <w:t xml:space="preserve">For each plan of insurance with separate rates for preferred and standard smoker lives, an insurer may use the Preferred Smoker and Residual Standard Smoker </w:t>
      </w:r>
      <w:r w:rsidR="008350D2">
        <w:t>T</w:t>
      </w:r>
      <w:r w:rsidRPr="0070229F">
        <w:t xml:space="preserve">ables to substitute for the smoker mortality table found in the 2001 CSO Mortality Table to determine minimum reserves. </w:t>
      </w:r>
      <w:r w:rsidR="0070229F">
        <w:t xml:space="preserve"> </w:t>
      </w:r>
      <w:r w:rsidRPr="0070229F">
        <w:t>At the time of election and annually thereafter, for business valued under the Preferred Smoker Table, the appointed actuary shall certify that:</w:t>
      </w:r>
    </w:p>
    <w:p w:rsidR="00551F96" w:rsidRPr="0070229F" w:rsidRDefault="00551F96" w:rsidP="0070229F"/>
    <w:p w:rsidR="00551F96" w:rsidRPr="0070229F" w:rsidRDefault="00551F96" w:rsidP="0070229F">
      <w:pPr>
        <w:ind w:left="2160" w:hanging="720"/>
      </w:pPr>
      <w:r w:rsidRPr="0070229F">
        <w:t>1)</w:t>
      </w:r>
      <w:r w:rsidRPr="0070229F">
        <w:tab/>
        <w:t>The present value of death benefits over the next 10 years after the valuation date, using the anticipated mortality experience without recognition of mortality improvement beyond the valuation date for each class, is less than the present value of death benefits using the preferred smoker valuation basi</w:t>
      </w:r>
      <w:r w:rsidR="004430B0">
        <w:t>c</w:t>
      </w:r>
      <w:r w:rsidRPr="0070229F">
        <w:t xml:space="preserve"> table corresponding to the valuation table being used for that class. </w:t>
      </w:r>
    </w:p>
    <w:p w:rsidR="00551F96" w:rsidRPr="0070229F" w:rsidRDefault="00551F96" w:rsidP="0070229F"/>
    <w:p w:rsidR="00551F96" w:rsidRPr="0070229F" w:rsidRDefault="00551F96" w:rsidP="0070229F">
      <w:pPr>
        <w:ind w:left="2160" w:hanging="720"/>
      </w:pPr>
      <w:r w:rsidRPr="0070229F">
        <w:t>2)</w:t>
      </w:r>
      <w:r w:rsidRPr="0070229F">
        <w:tab/>
        <w:t xml:space="preserve">The present value of death benefits over the future life of the contracts, using anticipated mortality experience without recognition of mortality improvement beyond the valuation date for each class, is less than the present value of death benefits using the preferred smoker valuation basic table. </w:t>
      </w:r>
    </w:p>
    <w:p w:rsidR="00551F96" w:rsidRPr="0070229F" w:rsidRDefault="00551F96" w:rsidP="0070229F"/>
    <w:p w:rsidR="00551F96" w:rsidRDefault="00551F96" w:rsidP="0070229F">
      <w:pPr>
        <w:ind w:left="1440" w:hanging="720"/>
      </w:pPr>
      <w:r w:rsidRPr="0070229F">
        <w:t>c)</w:t>
      </w:r>
      <w:r w:rsidRPr="0070229F">
        <w:tab/>
        <w:t xml:space="preserve">Every authorized insurer using the 2001 CSO Preferred Class Structure Table shall annually file with the Director, </w:t>
      </w:r>
      <w:r w:rsidR="004430B0">
        <w:t xml:space="preserve">or statistical agent designated by the Director, </w:t>
      </w:r>
      <w:r w:rsidRPr="0070229F">
        <w:t xml:space="preserve">no sooner than December 31, 2008, statistical reports showing mortality </w:t>
      </w:r>
      <w:r w:rsidRPr="0070229F">
        <w:lastRenderedPageBreak/>
        <w:t xml:space="preserve">and such other information as the Director may deem necessary or expedient for the administration of the provisions of this Part. </w:t>
      </w:r>
    </w:p>
    <w:p w:rsidR="00E132A4" w:rsidRDefault="00E132A4" w:rsidP="0070229F">
      <w:pPr>
        <w:ind w:left="1440" w:hanging="720"/>
      </w:pPr>
    </w:p>
    <w:p w:rsidR="00E132A4" w:rsidRPr="00E132A4" w:rsidRDefault="00E132A4" w:rsidP="00E132A4">
      <w:pPr>
        <w:ind w:left="1440" w:hanging="720"/>
      </w:pPr>
      <w:r w:rsidRPr="00E132A4">
        <w:t>d)</w:t>
      </w:r>
      <w:r>
        <w:tab/>
      </w:r>
      <w:r w:rsidRPr="00E132A4">
        <w:t>For purposes of the</w:t>
      </w:r>
      <w:r w:rsidR="002F6473">
        <w:t xml:space="preserve"> cases described in subsections (d)(1) and (2)</w:t>
      </w:r>
      <w:r w:rsidRPr="00E132A4">
        <w:t xml:space="preserve">, the reserve for the mean reserve method shall be defined as the mean reserve minus the deferred premium asset, and for the mid-terminal reserve method shall include the unearned premium reserve.  A company may estimate and adjust its accounting on an aggregate basis in order to meet the conditions to use the 2001 CSO Preferred Class Structure Table.  The use of the 2001 CSO Preferred Class Structure Table for the valuation of policies issued prior to </w:t>
      </w:r>
      <w:smartTag w:uri="urn:schemas-microsoft-com:office:smarttags" w:element="date">
        <w:smartTagPr>
          <w:attr w:name="ls" w:val="trans"/>
          <w:attr w:name="Month" w:val="1"/>
          <w:attr w:name="Day" w:val="1"/>
          <w:attr w:name="Year" w:val="2007"/>
        </w:smartTagPr>
        <w:r w:rsidRPr="00E132A4">
          <w:t>January 1, 2007</w:t>
        </w:r>
      </w:smartTag>
      <w:r w:rsidRPr="00E132A4">
        <w:t xml:space="preserve"> shall not be permitted in any statutory financial statement in which a company reports, with respect to any policy or portion of a policy coinsured, either of the following:</w:t>
      </w:r>
    </w:p>
    <w:p w:rsidR="00E132A4" w:rsidRPr="00E132A4" w:rsidRDefault="00E132A4" w:rsidP="00E132A4"/>
    <w:p w:rsidR="00E132A4" w:rsidRPr="00E132A4" w:rsidRDefault="00E132A4" w:rsidP="00E132A4">
      <w:pPr>
        <w:ind w:left="2160" w:hanging="720"/>
      </w:pPr>
      <w:r w:rsidRPr="00E132A4">
        <w:t>1)</w:t>
      </w:r>
      <w:r>
        <w:tab/>
      </w:r>
      <w:r w:rsidRPr="00E132A4">
        <w:t xml:space="preserve">In cases </w:t>
      </w:r>
      <w:r w:rsidR="00C31A73">
        <w:t xml:space="preserve">in which </w:t>
      </w:r>
      <w:r w:rsidRPr="00E132A4">
        <w:t xml:space="preserve">the mode of payment of the reinsurance premium is less frequent than the mode of payment of the policy premium, a reserve credit that exceeds, by more than the amount specified in this </w:t>
      </w:r>
      <w:r w:rsidR="00C31A73">
        <w:t xml:space="preserve">subsection (d)(1) </w:t>
      </w:r>
      <w:r w:rsidRPr="00E132A4">
        <w:t>as Y, the gross reserve calculated before reinsurance. Y is the amount of the gross reinsurance premium that:</w:t>
      </w:r>
    </w:p>
    <w:p w:rsidR="00E132A4" w:rsidRPr="00E132A4" w:rsidRDefault="00E132A4" w:rsidP="00E132A4"/>
    <w:p w:rsidR="00E132A4" w:rsidRPr="00E132A4" w:rsidRDefault="00E132A4" w:rsidP="00E132A4">
      <w:pPr>
        <w:ind w:left="2880" w:hanging="720"/>
      </w:pPr>
      <w:r>
        <w:t>A)</w:t>
      </w:r>
      <w:r>
        <w:tab/>
      </w:r>
      <w:r w:rsidRPr="00E132A4">
        <w:t>provides coverage for the period from the next policy premium due date to the earlier of the end of the policy year and the next reinsurance premium due date</w:t>
      </w:r>
      <w:r w:rsidR="00C31A73">
        <w:t>;</w:t>
      </w:r>
      <w:r w:rsidRPr="00E132A4">
        <w:t xml:space="preserve"> and </w:t>
      </w:r>
    </w:p>
    <w:p w:rsidR="00E132A4" w:rsidRPr="00E132A4" w:rsidRDefault="00E132A4" w:rsidP="00E132A4"/>
    <w:p w:rsidR="00E132A4" w:rsidRPr="00E132A4" w:rsidRDefault="00E132A4" w:rsidP="00E132A4">
      <w:pPr>
        <w:ind w:left="2880" w:hanging="720"/>
      </w:pPr>
      <w:r>
        <w:t>B)</w:t>
      </w:r>
      <w:r>
        <w:tab/>
      </w:r>
      <w:r w:rsidRPr="00E132A4">
        <w:t xml:space="preserve">would be refunded to the ceding entity upon the termination of the policy. </w:t>
      </w:r>
    </w:p>
    <w:p w:rsidR="00E132A4" w:rsidRPr="00E132A4" w:rsidRDefault="00E132A4" w:rsidP="00E132A4"/>
    <w:p w:rsidR="00E132A4" w:rsidRPr="00E132A4" w:rsidRDefault="00E132A4" w:rsidP="00E132A4">
      <w:pPr>
        <w:ind w:left="2160" w:hanging="720"/>
      </w:pPr>
      <w:r w:rsidRPr="00E132A4">
        <w:t>2)</w:t>
      </w:r>
      <w:r>
        <w:tab/>
      </w:r>
      <w:r w:rsidRPr="00E132A4">
        <w:t xml:space="preserve">In cases </w:t>
      </w:r>
      <w:r w:rsidR="00C31A73">
        <w:t xml:space="preserve">in which </w:t>
      </w:r>
      <w:r w:rsidRPr="00E132A4">
        <w:t xml:space="preserve">the mode of payment of the reinsurance premium is more frequent than the mode of payment of the policy premium, a reserve credit that is less than the gross reserve, calculated before reinsurance, by an amount that is less than the amount specified in this </w:t>
      </w:r>
      <w:r w:rsidR="00C31A73">
        <w:t xml:space="preserve">subsection (d)(2) </w:t>
      </w:r>
      <w:r w:rsidRPr="00E132A4">
        <w:t>as Z. Z is the amount of the gross reinsurance premium that the ceding entity would need to pay the assuming company to provide reinsurance coverage from the period of the next reinsurance premium due date to the next policy premium due date minus any liability established for the proportionate amount not remitted to the reinsurer.</w:t>
      </w:r>
    </w:p>
    <w:p w:rsidR="00E132A4" w:rsidRDefault="00E132A4">
      <w:pPr>
        <w:pStyle w:val="JCARSourceNote"/>
        <w:ind w:left="720"/>
      </w:pPr>
    </w:p>
    <w:p w:rsidR="00E132A4" w:rsidRPr="00D55B37" w:rsidRDefault="00E132A4">
      <w:pPr>
        <w:pStyle w:val="JCARSourceNote"/>
        <w:ind w:left="720"/>
      </w:pPr>
      <w:r w:rsidRPr="00D55B37">
        <w:t xml:space="preserve">(Source:  </w:t>
      </w:r>
      <w:r>
        <w:t>Amended</w:t>
      </w:r>
      <w:r w:rsidRPr="00D55B37">
        <w:t xml:space="preserve"> at </w:t>
      </w:r>
      <w:r>
        <w:t>34 I</w:t>
      </w:r>
      <w:r w:rsidRPr="00D55B37">
        <w:t xml:space="preserve">ll. Reg. </w:t>
      </w:r>
      <w:r w:rsidR="00712318">
        <w:t>6872</w:t>
      </w:r>
      <w:r w:rsidRPr="00D55B37">
        <w:t xml:space="preserve">, effective </w:t>
      </w:r>
      <w:r w:rsidR="00712318">
        <w:t>April 29, 2010</w:t>
      </w:r>
      <w:r w:rsidRPr="00D55B37">
        <w:t>)</w:t>
      </w:r>
    </w:p>
    <w:sectPr w:rsidR="00E132A4"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B25" w:rsidRDefault="004E6B25">
      <w:r>
        <w:separator/>
      </w:r>
    </w:p>
  </w:endnote>
  <w:endnote w:type="continuationSeparator" w:id="0">
    <w:p w:rsidR="004E6B25" w:rsidRDefault="004E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B25" w:rsidRDefault="004E6B25">
      <w:r>
        <w:separator/>
      </w:r>
    </w:p>
  </w:footnote>
  <w:footnote w:type="continuationSeparator" w:id="0">
    <w:p w:rsidR="004E6B25" w:rsidRDefault="004E6B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B69CC"/>
    <w:multiLevelType w:val="hybridMultilevel"/>
    <w:tmpl w:val="D3FAAFBE"/>
    <w:lvl w:ilvl="0" w:tplc="DD164CF6">
      <w:start w:val="1"/>
      <w:numFmt w:val="upperLetter"/>
      <w:lvlText w:val="%1)"/>
      <w:lvlJc w:val="left"/>
      <w:pPr>
        <w:tabs>
          <w:tab w:val="num" w:pos="2522"/>
        </w:tabs>
        <w:ind w:left="2522" w:hanging="360"/>
      </w:pPr>
      <w:rPr>
        <w:rFonts w:hint="default"/>
      </w:rPr>
    </w:lvl>
    <w:lvl w:ilvl="1" w:tplc="04090019">
      <w:start w:val="1"/>
      <w:numFmt w:val="lowerLetter"/>
      <w:lvlText w:val="%2."/>
      <w:lvlJc w:val="left"/>
      <w:pPr>
        <w:tabs>
          <w:tab w:val="num" w:pos="3242"/>
        </w:tabs>
        <w:ind w:left="3242" w:hanging="360"/>
      </w:pPr>
    </w:lvl>
    <w:lvl w:ilvl="2" w:tplc="0409001B" w:tentative="1">
      <w:start w:val="1"/>
      <w:numFmt w:val="lowerRoman"/>
      <w:lvlText w:val="%3."/>
      <w:lvlJc w:val="right"/>
      <w:pPr>
        <w:tabs>
          <w:tab w:val="num" w:pos="3962"/>
        </w:tabs>
        <w:ind w:left="3962" w:hanging="180"/>
      </w:pPr>
    </w:lvl>
    <w:lvl w:ilvl="3" w:tplc="0409000F" w:tentative="1">
      <w:start w:val="1"/>
      <w:numFmt w:val="decimal"/>
      <w:lvlText w:val="%4."/>
      <w:lvlJc w:val="left"/>
      <w:pPr>
        <w:tabs>
          <w:tab w:val="num" w:pos="4682"/>
        </w:tabs>
        <w:ind w:left="4682" w:hanging="360"/>
      </w:pPr>
    </w:lvl>
    <w:lvl w:ilvl="4" w:tplc="04090019" w:tentative="1">
      <w:start w:val="1"/>
      <w:numFmt w:val="lowerLetter"/>
      <w:lvlText w:val="%5."/>
      <w:lvlJc w:val="left"/>
      <w:pPr>
        <w:tabs>
          <w:tab w:val="num" w:pos="5402"/>
        </w:tabs>
        <w:ind w:left="5402" w:hanging="360"/>
      </w:pPr>
    </w:lvl>
    <w:lvl w:ilvl="5" w:tplc="0409001B" w:tentative="1">
      <w:start w:val="1"/>
      <w:numFmt w:val="lowerRoman"/>
      <w:lvlText w:val="%6."/>
      <w:lvlJc w:val="right"/>
      <w:pPr>
        <w:tabs>
          <w:tab w:val="num" w:pos="6122"/>
        </w:tabs>
        <w:ind w:left="6122" w:hanging="180"/>
      </w:pPr>
    </w:lvl>
    <w:lvl w:ilvl="6" w:tplc="0409000F" w:tentative="1">
      <w:start w:val="1"/>
      <w:numFmt w:val="decimal"/>
      <w:lvlText w:val="%7."/>
      <w:lvlJc w:val="left"/>
      <w:pPr>
        <w:tabs>
          <w:tab w:val="num" w:pos="6842"/>
        </w:tabs>
        <w:ind w:left="6842" w:hanging="360"/>
      </w:pPr>
    </w:lvl>
    <w:lvl w:ilvl="7" w:tplc="04090019" w:tentative="1">
      <w:start w:val="1"/>
      <w:numFmt w:val="lowerLetter"/>
      <w:lvlText w:val="%8."/>
      <w:lvlJc w:val="left"/>
      <w:pPr>
        <w:tabs>
          <w:tab w:val="num" w:pos="7562"/>
        </w:tabs>
        <w:ind w:left="7562" w:hanging="360"/>
      </w:pPr>
    </w:lvl>
    <w:lvl w:ilvl="8" w:tplc="0409001B" w:tentative="1">
      <w:start w:val="1"/>
      <w:numFmt w:val="lowerRoman"/>
      <w:lvlText w:val="%9."/>
      <w:lvlJc w:val="right"/>
      <w:pPr>
        <w:tabs>
          <w:tab w:val="num" w:pos="8282"/>
        </w:tabs>
        <w:ind w:left="82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1F96"/>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B79BB"/>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2F6473"/>
    <w:rsid w:val="00305AAE"/>
    <w:rsid w:val="00310135"/>
    <w:rsid w:val="00311C50"/>
    <w:rsid w:val="00314233"/>
    <w:rsid w:val="00322AC2"/>
    <w:rsid w:val="00323B50"/>
    <w:rsid w:val="00332C55"/>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1C"/>
    <w:rsid w:val="003F24E6"/>
    <w:rsid w:val="003F3A28"/>
    <w:rsid w:val="003F5FD7"/>
    <w:rsid w:val="003F60AF"/>
    <w:rsid w:val="004014FB"/>
    <w:rsid w:val="00404222"/>
    <w:rsid w:val="00420E63"/>
    <w:rsid w:val="004218A0"/>
    <w:rsid w:val="00426A13"/>
    <w:rsid w:val="0043072A"/>
    <w:rsid w:val="00431CFE"/>
    <w:rsid w:val="004326E0"/>
    <w:rsid w:val="004430B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4E6B25"/>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1F96"/>
    <w:rsid w:val="0056157E"/>
    <w:rsid w:val="0056501E"/>
    <w:rsid w:val="00571719"/>
    <w:rsid w:val="00571A8B"/>
    <w:rsid w:val="00573770"/>
    <w:rsid w:val="00576975"/>
    <w:rsid w:val="005777E6"/>
    <w:rsid w:val="00586A81"/>
    <w:rsid w:val="005901D4"/>
    <w:rsid w:val="005948A7"/>
    <w:rsid w:val="005A2494"/>
    <w:rsid w:val="005A73F7"/>
    <w:rsid w:val="005B4C2F"/>
    <w:rsid w:val="005B767E"/>
    <w:rsid w:val="005D35F3"/>
    <w:rsid w:val="005E03A7"/>
    <w:rsid w:val="005E3D55"/>
    <w:rsid w:val="006132CE"/>
    <w:rsid w:val="00620BBA"/>
    <w:rsid w:val="006247D4"/>
    <w:rsid w:val="00631875"/>
    <w:rsid w:val="00634B62"/>
    <w:rsid w:val="00641AEA"/>
    <w:rsid w:val="00641C4C"/>
    <w:rsid w:val="00645EE9"/>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7136"/>
    <w:rsid w:val="0070229F"/>
    <w:rsid w:val="00702A38"/>
    <w:rsid w:val="0070602C"/>
    <w:rsid w:val="00712318"/>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50D2"/>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250E"/>
    <w:rsid w:val="00965A76"/>
    <w:rsid w:val="00966D51"/>
    <w:rsid w:val="00980E8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C7622"/>
    <w:rsid w:val="00AD2A5F"/>
    <w:rsid w:val="00AD65DB"/>
    <w:rsid w:val="00AE031A"/>
    <w:rsid w:val="00AE5547"/>
    <w:rsid w:val="00AE776A"/>
    <w:rsid w:val="00AF2883"/>
    <w:rsid w:val="00AF3304"/>
    <w:rsid w:val="00AF768C"/>
    <w:rsid w:val="00B01411"/>
    <w:rsid w:val="00B15414"/>
    <w:rsid w:val="00B17D78"/>
    <w:rsid w:val="00B2411F"/>
    <w:rsid w:val="00B332C9"/>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31A7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D63B3"/>
    <w:rsid w:val="00CE4292"/>
    <w:rsid w:val="00CF0625"/>
    <w:rsid w:val="00D03A79"/>
    <w:rsid w:val="00D0676C"/>
    <w:rsid w:val="00D2155A"/>
    <w:rsid w:val="00D23D5E"/>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132A4"/>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06F8"/>
    <w:rsid w:val="00FC0735"/>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E132A4"/>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PlainText">
    <w:name w:val="Plain Text"/>
    <w:basedOn w:val="Normal"/>
    <w:rsid w:val="00E132A4"/>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3534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2012-06-21T18:37:00Z</dcterms:created>
  <dcterms:modified xsi:type="dcterms:W3CDTF">2012-06-21T18:37:00Z</dcterms:modified>
</cp:coreProperties>
</file>