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B3" w:rsidRDefault="00E967B3" w:rsidP="00E967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7B3" w:rsidRDefault="00E967B3" w:rsidP="00E967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1408.70  Statement of Actuarial Opinion Based on Asset Adequacy Analysis</w:t>
      </w:r>
      <w:r>
        <w:t xml:space="preserve"> </w:t>
      </w:r>
    </w:p>
    <w:p w:rsidR="00E967B3" w:rsidRDefault="00E967B3" w:rsidP="00E967B3">
      <w:pPr>
        <w:widowControl w:val="0"/>
        <w:autoSpaceDE w:val="0"/>
        <w:autoSpaceDN w:val="0"/>
        <w:adjustRightInd w:val="0"/>
      </w:pPr>
    </w:p>
    <w:p w:rsidR="00E967B3" w:rsidRDefault="00E967B3" w:rsidP="00E967B3">
      <w:pPr>
        <w:widowControl w:val="0"/>
        <w:autoSpaceDE w:val="0"/>
        <w:autoSpaceDN w:val="0"/>
        <w:adjustRightInd w:val="0"/>
      </w:pPr>
      <w:r>
        <w:t xml:space="preserve">A Statement of Actuarial Opinion based on an asset adequacy analysis shall be consistent with Illustration A of this Part. </w:t>
      </w:r>
    </w:p>
    <w:sectPr w:rsidR="00E967B3" w:rsidSect="00E967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7B3"/>
    <w:rsid w:val="0006691B"/>
    <w:rsid w:val="001C5756"/>
    <w:rsid w:val="005C3366"/>
    <w:rsid w:val="00AC0AD9"/>
    <w:rsid w:val="00E9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