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C7" w:rsidRDefault="004832C7" w:rsidP="004832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32C7" w:rsidRDefault="004832C7" w:rsidP="004832C7">
      <w:pPr>
        <w:widowControl w:val="0"/>
        <w:autoSpaceDE w:val="0"/>
        <w:autoSpaceDN w:val="0"/>
        <w:adjustRightInd w:val="0"/>
        <w:jc w:val="center"/>
      </w:pPr>
      <w:r>
        <w:t>PART 934</w:t>
      </w:r>
    </w:p>
    <w:p w:rsidR="004832C7" w:rsidRDefault="004832C7" w:rsidP="004832C7">
      <w:pPr>
        <w:widowControl w:val="0"/>
        <w:autoSpaceDE w:val="0"/>
        <w:autoSpaceDN w:val="0"/>
        <w:adjustRightInd w:val="0"/>
        <w:jc w:val="center"/>
      </w:pPr>
      <w:r>
        <w:t>USAGE OF SMOKER/NONSMOKER MORTALITY TABLES</w:t>
      </w:r>
    </w:p>
    <w:p w:rsidR="004832C7" w:rsidRDefault="004832C7" w:rsidP="004832C7">
      <w:pPr>
        <w:widowControl w:val="0"/>
        <w:autoSpaceDE w:val="0"/>
        <w:autoSpaceDN w:val="0"/>
        <w:adjustRightInd w:val="0"/>
        <w:jc w:val="center"/>
      </w:pPr>
      <w:r>
        <w:t>IN DETERMINING MINIMUM RESERVE LIABILITIES AND</w:t>
      </w:r>
    </w:p>
    <w:p w:rsidR="004832C7" w:rsidRDefault="004832C7" w:rsidP="004832C7">
      <w:pPr>
        <w:widowControl w:val="0"/>
        <w:autoSpaceDE w:val="0"/>
        <w:autoSpaceDN w:val="0"/>
        <w:adjustRightInd w:val="0"/>
        <w:jc w:val="center"/>
      </w:pPr>
      <w:r>
        <w:t>NONFORFEITURE BENEFITS</w:t>
      </w:r>
    </w:p>
    <w:p w:rsidR="004832C7" w:rsidRDefault="004832C7" w:rsidP="004832C7">
      <w:pPr>
        <w:widowControl w:val="0"/>
        <w:autoSpaceDE w:val="0"/>
        <w:autoSpaceDN w:val="0"/>
        <w:adjustRightInd w:val="0"/>
      </w:pPr>
    </w:p>
    <w:sectPr w:rsidR="004832C7" w:rsidSect="004832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2C7"/>
    <w:rsid w:val="004832C7"/>
    <w:rsid w:val="005C3366"/>
    <w:rsid w:val="007D090A"/>
    <w:rsid w:val="0084271A"/>
    <w:rsid w:val="00E3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934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934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