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12C6" w14:textId="77777777" w:rsidR="007F1CB5" w:rsidRDefault="007F1CB5" w:rsidP="007F1CB5">
      <w:pPr>
        <w:widowControl w:val="0"/>
        <w:autoSpaceDE w:val="0"/>
        <w:autoSpaceDN w:val="0"/>
        <w:adjustRightInd w:val="0"/>
      </w:pPr>
    </w:p>
    <w:p w14:paraId="617E0CB2" w14:textId="77777777" w:rsidR="007F1CB5" w:rsidRDefault="007F1CB5" w:rsidP="007F1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913.100  Documents to be Filed with the Director</w:t>
      </w:r>
      <w:r>
        <w:t xml:space="preserve"> </w:t>
      </w:r>
    </w:p>
    <w:p w14:paraId="3BB9EF8B" w14:textId="77777777" w:rsidR="007F1CB5" w:rsidRDefault="007F1CB5" w:rsidP="007F1CB5">
      <w:pPr>
        <w:widowControl w:val="0"/>
        <w:autoSpaceDE w:val="0"/>
        <w:autoSpaceDN w:val="0"/>
        <w:adjustRightInd w:val="0"/>
      </w:pPr>
    </w:p>
    <w:p w14:paraId="67276A08" w14:textId="12AF5214" w:rsidR="007F1CB5" w:rsidRDefault="007F1CB5" w:rsidP="007F1CB5">
      <w:pPr>
        <w:widowControl w:val="0"/>
        <w:autoSpaceDE w:val="0"/>
        <w:autoSpaceDN w:val="0"/>
        <w:adjustRightInd w:val="0"/>
      </w:pPr>
      <w:r>
        <w:t>In addition to all other documents required to be filed with the Director</w:t>
      </w:r>
      <w:r w:rsidR="009B179D">
        <w:t xml:space="preserve"> pursuant to Section 147.1(4) of the Code</w:t>
      </w:r>
      <w:r>
        <w:t xml:space="preserve">, an issuer, underwriter, dealer or controlling person making application to the Director for a </w:t>
      </w:r>
      <w:r w:rsidR="00243EAB">
        <w:t>permit</w:t>
      </w:r>
      <w:r>
        <w:t xml:space="preserve"> to sell shares shall submit to the Department the following documents in duplicate, </w:t>
      </w:r>
      <w:r w:rsidR="00243EAB">
        <w:t>when</w:t>
      </w:r>
      <w:r>
        <w:t xml:space="preserve"> applicable: </w:t>
      </w:r>
    </w:p>
    <w:p w14:paraId="6E1B9A22" w14:textId="77777777" w:rsidR="00515035" w:rsidRDefault="00515035" w:rsidP="007F1CB5">
      <w:pPr>
        <w:widowControl w:val="0"/>
        <w:autoSpaceDE w:val="0"/>
        <w:autoSpaceDN w:val="0"/>
        <w:adjustRightInd w:val="0"/>
      </w:pPr>
    </w:p>
    <w:p w14:paraId="33F4F367" w14:textId="77777777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form of the prospectus to be used in connection with the public sale of shares; </w:t>
      </w:r>
    </w:p>
    <w:p w14:paraId="572A835E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14FE9BE5" w14:textId="28128843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Underwriting or selling agreements signed by the issuer and the selling agents; </w:t>
      </w:r>
    </w:p>
    <w:p w14:paraId="06AF6581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11D5BA04" w14:textId="77777777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Audited financial statements as required in the prospectus; </w:t>
      </w:r>
    </w:p>
    <w:p w14:paraId="4F4DEF1D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7BDB0632" w14:textId="72C74E2F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Executed copies of all escrow agreements required by any provision of this </w:t>
      </w:r>
      <w:r w:rsidR="00243EAB">
        <w:t>Part</w:t>
      </w:r>
      <w:r>
        <w:t xml:space="preserve">; </w:t>
      </w:r>
    </w:p>
    <w:p w14:paraId="1C89A420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676A321E" w14:textId="77777777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Stock Option Plans; </w:t>
      </w:r>
    </w:p>
    <w:p w14:paraId="7011A893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707CFD05" w14:textId="630F647F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supplemental statement signed by the proposed incorporators or officers as the case may be, setting forth the following information: </w:t>
      </w:r>
    </w:p>
    <w:p w14:paraId="06039F22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53FC87A2" w14:textId="77777777" w:rsidR="007F1CB5" w:rsidRDefault="007F1CB5" w:rsidP="007F1C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other expenses of issuance and distribution; </w:t>
      </w:r>
    </w:p>
    <w:p w14:paraId="19EC391B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16577FD3" w14:textId="77777777" w:rsidR="007F1CB5" w:rsidRDefault="007F1CB5" w:rsidP="007F1C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relationship of </w:t>
      </w:r>
      <w:r w:rsidR="00243EAB">
        <w:t xml:space="preserve">the </w:t>
      </w:r>
      <w:r>
        <w:t xml:space="preserve">applicant to experts named in the prospectus; </w:t>
      </w:r>
    </w:p>
    <w:p w14:paraId="35CF9247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772B7259" w14:textId="77777777" w:rsidR="007F1CB5" w:rsidRDefault="007F1CB5" w:rsidP="007F1C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subsidiaries of the applicant; </w:t>
      </w:r>
    </w:p>
    <w:p w14:paraId="58CEC840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0FE52C46" w14:textId="77777777" w:rsidR="007F1CB5" w:rsidRDefault="007F1CB5" w:rsidP="007F1C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indemnification of incorporators, officers or directors; </w:t>
      </w:r>
    </w:p>
    <w:p w14:paraId="65E037EB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65CE1EF1" w14:textId="77777777" w:rsidR="007F1CB5" w:rsidRDefault="007F1CB5" w:rsidP="007F1C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 lieu of the foregoing, copies of the registration statement as filed with the Securities Exchange Commission pursuant to the Federal Securities Act</w:t>
      </w:r>
      <w:r w:rsidR="009B179D">
        <w:t xml:space="preserve"> (15 U</w:t>
      </w:r>
      <w:r w:rsidR="00155243">
        <w:t>.</w:t>
      </w:r>
      <w:r w:rsidR="009B179D">
        <w:t>S</w:t>
      </w:r>
      <w:r w:rsidR="00155243">
        <w:t>.</w:t>
      </w:r>
      <w:r w:rsidR="009B179D">
        <w:t>C</w:t>
      </w:r>
      <w:r w:rsidR="00155243">
        <w:t>.</w:t>
      </w:r>
      <w:r w:rsidR="009B179D">
        <w:t xml:space="preserve"> 77f)</w:t>
      </w:r>
      <w:r>
        <w:t xml:space="preserve">, may be submitted. </w:t>
      </w:r>
    </w:p>
    <w:p w14:paraId="2F85E4F5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3EAD69F0" w14:textId="608F4D0D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names and addresses of counsel who have </w:t>
      </w:r>
      <w:r w:rsidR="009B179D">
        <w:t>verified</w:t>
      </w:r>
      <w:r>
        <w:t xml:space="preserve"> the legality of the issues; </w:t>
      </w:r>
    </w:p>
    <w:p w14:paraId="1DC5FB59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4F485308" w14:textId="48031803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Consent of </w:t>
      </w:r>
      <w:r w:rsidR="00243EAB">
        <w:t xml:space="preserve">the </w:t>
      </w:r>
      <w:r>
        <w:t xml:space="preserve">experts </w:t>
      </w:r>
      <w:r w:rsidR="00243EAB">
        <w:t>named</w:t>
      </w:r>
      <w:r>
        <w:t xml:space="preserve"> in </w:t>
      </w:r>
      <w:r w:rsidR="00243EAB">
        <w:t xml:space="preserve">the </w:t>
      </w:r>
      <w:r>
        <w:t>prospectus</w:t>
      </w:r>
      <w:r w:rsidR="00243EAB">
        <w:t>,</w:t>
      </w:r>
      <w:r>
        <w:t xml:space="preserve"> dated and signed in cases of an intrastate offering and conformed copies in </w:t>
      </w:r>
      <w:r w:rsidR="00243EAB">
        <w:t>cases of</w:t>
      </w:r>
      <w:r w:rsidR="00D37DD7">
        <w:t xml:space="preserve"> an</w:t>
      </w:r>
      <w:r>
        <w:t xml:space="preserve"> interstate</w:t>
      </w:r>
      <w:r w:rsidR="00243EAB">
        <w:t xml:space="preserve"> offering</w:t>
      </w:r>
      <w:r>
        <w:t xml:space="preserve">; </w:t>
      </w:r>
    </w:p>
    <w:p w14:paraId="24A6419C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192FC023" w14:textId="53D4A499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 sworn, executed </w:t>
      </w:r>
      <w:r w:rsidR="00243EAB">
        <w:t>biographical affidavit,</w:t>
      </w:r>
      <w:r>
        <w:t xml:space="preserve"> from each officer and director of domestic companies </w:t>
      </w:r>
      <w:r w:rsidR="00A50B74">
        <w:t>that</w:t>
      </w:r>
      <w:r>
        <w:t xml:space="preserve"> have been engaged in business for less than 10 years</w:t>
      </w:r>
      <w:r w:rsidR="00A50B74">
        <w:t>, each new officer and director of all existing domestic companies,</w:t>
      </w:r>
      <w:r>
        <w:t xml:space="preserve"> or </w:t>
      </w:r>
      <w:r w:rsidR="00A50B74">
        <w:t>upon request</w:t>
      </w:r>
      <w:r w:rsidR="008B0CDA">
        <w:t>,</w:t>
      </w:r>
      <w:r>
        <w:t xml:space="preserve"> from each incorporator, organizer, promoter or other person similarly situated</w:t>
      </w:r>
      <w:r w:rsidR="008B0CDA">
        <w:t xml:space="preserve">.  </w:t>
      </w:r>
      <w:r w:rsidR="008B0CDA" w:rsidRPr="0005148C">
        <w:t xml:space="preserve">The biographical affidavits shall include, but not be limited to, the following information:  identifying information; affiant's identifying and contact information; affiant's educational, residential and employment history; affiant's professional, business and technical licenses and memberships; a complete history </w:t>
      </w:r>
      <w:r w:rsidR="008B0CDA" w:rsidRPr="0005148C">
        <w:lastRenderedPageBreak/>
        <w:t xml:space="preserve">of affiant's fidelity bonding; </w:t>
      </w:r>
      <w:r w:rsidR="009B179D">
        <w:t xml:space="preserve">affiant's </w:t>
      </w:r>
      <w:r w:rsidR="008B0CDA" w:rsidRPr="0005148C">
        <w:t xml:space="preserve">criminal charges and convictions; civil, regulatory, administrative and disciplinary actions in </w:t>
      </w:r>
      <w:r w:rsidR="009B179D">
        <w:t>the affiant's</w:t>
      </w:r>
      <w:r w:rsidR="008B0CDA" w:rsidRPr="0005148C">
        <w:t xml:space="preserve"> individual or corporate capacity; a complete history of affiant's bankruptcy, insolvency, liens and foreclosures in an individual or corporate capacity; affiant's consent to release background reports to the Department and consent for third parties to cooperate in the gathering of background information; and affiant's and </w:t>
      </w:r>
      <w:r w:rsidR="009B179D">
        <w:t xml:space="preserve">affiant's </w:t>
      </w:r>
      <w:r w:rsidR="008B0CDA" w:rsidRPr="0005148C">
        <w:t xml:space="preserve">immediate family's equity holdings in any entity subject to insurance regulation. </w:t>
      </w:r>
      <w:r w:rsidR="00751853">
        <w:t xml:space="preserve"> </w:t>
      </w:r>
      <w:r w:rsidR="008B0CDA" w:rsidRPr="0005148C">
        <w:t xml:space="preserve">The Department will accept the biographical affidavit, and any supplement to that affidavit, that is obtained from the website of the </w:t>
      </w:r>
      <w:r w:rsidR="008B0CDA">
        <w:t>National Association of Insurance Commissioners (</w:t>
      </w:r>
      <w:r w:rsidR="008B0CDA" w:rsidRPr="0005148C">
        <w:t>NAIC</w:t>
      </w:r>
      <w:r w:rsidR="008B0CDA">
        <w:t>)</w:t>
      </w:r>
      <w:r w:rsidR="008B0CDA" w:rsidRPr="0005148C">
        <w:t xml:space="preserve"> or the Department</w:t>
      </w:r>
      <w:r>
        <w:t xml:space="preserve">; </w:t>
      </w:r>
    </w:p>
    <w:p w14:paraId="57EAB69C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626C6BD7" w14:textId="1EE37F31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Any additional documents </w:t>
      </w:r>
      <w:r w:rsidR="008B0CDA">
        <w:t>that</w:t>
      </w:r>
      <w:r w:rsidR="006F1F70">
        <w:t xml:space="preserve"> are required under Sections 20</w:t>
      </w:r>
      <w:r>
        <w:t xml:space="preserve">, 32 and 32.1 of the Code; and </w:t>
      </w:r>
    </w:p>
    <w:p w14:paraId="747209E5" w14:textId="77777777" w:rsidR="00515035" w:rsidRDefault="00515035" w:rsidP="00A41C5B">
      <w:pPr>
        <w:widowControl w:val="0"/>
        <w:autoSpaceDE w:val="0"/>
        <w:autoSpaceDN w:val="0"/>
        <w:adjustRightInd w:val="0"/>
      </w:pPr>
    </w:p>
    <w:p w14:paraId="55F27A85" w14:textId="77777777" w:rsidR="007F1CB5" w:rsidRDefault="007F1CB5" w:rsidP="007F1CB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Agreement signed by </w:t>
      </w:r>
      <w:r w:rsidR="00751853">
        <w:t xml:space="preserve">the </w:t>
      </w:r>
      <w:r>
        <w:t xml:space="preserve">applicant to file all necessary amendments and supplements to the prospectus. </w:t>
      </w:r>
    </w:p>
    <w:p w14:paraId="5253228C" w14:textId="77777777" w:rsidR="007F1CB5" w:rsidRDefault="007F1CB5" w:rsidP="00A41C5B">
      <w:pPr>
        <w:widowControl w:val="0"/>
        <w:autoSpaceDE w:val="0"/>
        <w:autoSpaceDN w:val="0"/>
        <w:adjustRightInd w:val="0"/>
      </w:pPr>
    </w:p>
    <w:p w14:paraId="5A6133B8" w14:textId="0057BC1A" w:rsidR="007F1CB5" w:rsidRDefault="00751853" w:rsidP="007F1C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0C11EA">
        <w:t>12023</w:t>
      </w:r>
      <w:r>
        <w:t xml:space="preserve">, effective </w:t>
      </w:r>
      <w:r w:rsidR="000C11EA">
        <w:t>June 30, 2022</w:t>
      </w:r>
      <w:r>
        <w:t>)</w:t>
      </w:r>
    </w:p>
    <w:sectPr w:rsidR="007F1CB5" w:rsidSect="007F1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CB5"/>
    <w:rsid w:val="000C11EA"/>
    <w:rsid w:val="00155243"/>
    <w:rsid w:val="00243EAB"/>
    <w:rsid w:val="00515035"/>
    <w:rsid w:val="005C3366"/>
    <w:rsid w:val="006F1F70"/>
    <w:rsid w:val="0072144C"/>
    <w:rsid w:val="00751853"/>
    <w:rsid w:val="007F1CB5"/>
    <w:rsid w:val="008B0CDA"/>
    <w:rsid w:val="009B179D"/>
    <w:rsid w:val="009F5637"/>
    <w:rsid w:val="00A41C5B"/>
    <w:rsid w:val="00A50B74"/>
    <w:rsid w:val="00A95C7A"/>
    <w:rsid w:val="00B92EB2"/>
    <w:rsid w:val="00D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971517"/>
  <w15:docId w15:val="{C1652381-B402-4737-81B9-B2EB6A9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4</cp:revision>
  <dcterms:created xsi:type="dcterms:W3CDTF">2022-06-16T13:46:00Z</dcterms:created>
  <dcterms:modified xsi:type="dcterms:W3CDTF">2022-07-15T13:28:00Z</dcterms:modified>
</cp:coreProperties>
</file>