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897" w:rsidRDefault="00C62897" w:rsidP="00C628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2897" w:rsidRDefault="00C62897" w:rsidP="00C62897">
      <w:pPr>
        <w:widowControl w:val="0"/>
        <w:autoSpaceDE w:val="0"/>
        <w:autoSpaceDN w:val="0"/>
        <w:adjustRightInd w:val="0"/>
        <w:jc w:val="center"/>
      </w:pPr>
      <w:r>
        <w:t>SUBPART A:  RULES RELATING TO OPERATING EXPENSE CLASSIFICATIONS</w:t>
      </w:r>
    </w:p>
    <w:sectPr w:rsidR="00C62897" w:rsidSect="00C628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2897"/>
    <w:rsid w:val="002419AC"/>
    <w:rsid w:val="004C3BC2"/>
    <w:rsid w:val="005C3366"/>
    <w:rsid w:val="00C62897"/>
    <w:rsid w:val="00D4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RULES RELATING TO OPERATING EXPENSE CLASSIFICATIONS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RULES RELATING TO OPERATING EXPENSE CLASSIFICATIONS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