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0A" w:rsidRDefault="0004530A" w:rsidP="000453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530A" w:rsidRDefault="0004530A" w:rsidP="000453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854.20  Definitions</w:t>
      </w:r>
      <w:r>
        <w:t xml:space="preserve"> </w:t>
      </w:r>
    </w:p>
    <w:p w:rsidR="0004530A" w:rsidRDefault="0004530A" w:rsidP="0004530A">
      <w:pPr>
        <w:widowControl w:val="0"/>
        <w:autoSpaceDE w:val="0"/>
        <w:autoSpaceDN w:val="0"/>
        <w:adjustRightInd w:val="0"/>
      </w:pPr>
    </w:p>
    <w:p w:rsidR="0004530A" w:rsidRDefault="0004530A" w:rsidP="0004530A">
      <w:pPr>
        <w:widowControl w:val="0"/>
        <w:autoSpaceDE w:val="0"/>
        <w:autoSpaceDN w:val="0"/>
        <w:adjustRightInd w:val="0"/>
      </w:pPr>
      <w:r>
        <w:t xml:space="preserve">"Executive officer" means any individual charged with active management and control in a senior executive capacity as described by the company's by-laws (including a president, senior vice president, treasurer, secretary, controller, and any other individual regardless of title performing functions the same as those performed by the foregoing officers). </w:t>
      </w:r>
    </w:p>
    <w:p w:rsidR="0004530A" w:rsidRDefault="0004530A" w:rsidP="0004530A">
      <w:pPr>
        <w:widowControl w:val="0"/>
        <w:autoSpaceDE w:val="0"/>
        <w:autoSpaceDN w:val="0"/>
        <w:adjustRightInd w:val="0"/>
      </w:pPr>
    </w:p>
    <w:p w:rsidR="0004530A" w:rsidRDefault="0004530A" w:rsidP="000453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6176, effective April 6, 1994) </w:t>
      </w:r>
    </w:p>
    <w:sectPr w:rsidR="0004530A" w:rsidSect="00045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530A"/>
    <w:rsid w:val="0004530A"/>
    <w:rsid w:val="00277097"/>
    <w:rsid w:val="002D1AAA"/>
    <w:rsid w:val="005C3366"/>
    <w:rsid w:val="009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854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854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