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61" w:rsidRDefault="00D52561" w:rsidP="00D52561">
      <w:pPr>
        <w:widowControl w:val="0"/>
        <w:autoSpaceDE w:val="0"/>
        <w:autoSpaceDN w:val="0"/>
        <w:adjustRightInd w:val="0"/>
      </w:pPr>
      <w:bookmarkStart w:id="0" w:name="_GoBack"/>
      <w:bookmarkEnd w:id="0"/>
    </w:p>
    <w:p w:rsidR="00D52561" w:rsidRDefault="00D52561" w:rsidP="00D52561">
      <w:pPr>
        <w:widowControl w:val="0"/>
        <w:autoSpaceDE w:val="0"/>
        <w:autoSpaceDN w:val="0"/>
        <w:adjustRightInd w:val="0"/>
      </w:pPr>
      <w:r>
        <w:rPr>
          <w:b/>
          <w:bCs/>
        </w:rPr>
        <w:t>Section 203.30  Disclosure of Equivalent Information</w:t>
      </w:r>
      <w:r>
        <w:t xml:space="preserve"> </w:t>
      </w:r>
    </w:p>
    <w:p w:rsidR="00D52561" w:rsidRDefault="00D52561" w:rsidP="00D52561">
      <w:pPr>
        <w:widowControl w:val="0"/>
        <w:autoSpaceDE w:val="0"/>
        <w:autoSpaceDN w:val="0"/>
        <w:adjustRightInd w:val="0"/>
      </w:pPr>
    </w:p>
    <w:p w:rsidR="00D52561" w:rsidRDefault="00D52561" w:rsidP="00D52561">
      <w:pPr>
        <w:widowControl w:val="0"/>
        <w:autoSpaceDE w:val="0"/>
        <w:autoSpaceDN w:val="0"/>
        <w:adjustRightInd w:val="0"/>
      </w:pPr>
      <w:r>
        <w:t xml:space="preserve">If proxies, consents or authorizations concerning any class of equity security of a domestic company subject to Section 203.10 are not solicited by or on behalf of the management of the company from the holders of record of the security in accordance with this Part and Exhibits prior to any annual or other meeting of the security holders, the company must, in accordance with this Part and such other Parts as the Director may adopt, file with the Director and transmit to all security holders of record information substantially equivalent to the information which would be required to be transmitted if a solicitation were made.  The company must transmit a written information statement containing the information specified in Subsection (d) of Section 203.50 to every security holder who is entitled to vote in regard to any matter to be acted upon at the meeting and from whom a proxy is not solicited on behalf of the management of the company.  But, in the case of a class of securities in unregistered or bearer form, the statement must be transmitted only to those security holders whose names and addresses are known to the company. </w:t>
      </w:r>
    </w:p>
    <w:sectPr w:rsidR="00D52561" w:rsidSect="00D52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561"/>
    <w:rsid w:val="004A20FC"/>
    <w:rsid w:val="00543F48"/>
    <w:rsid w:val="005C3366"/>
    <w:rsid w:val="00892C1F"/>
    <w:rsid w:val="00D5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