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4F" w:rsidRDefault="008D384F" w:rsidP="008D3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84F" w:rsidRDefault="008D384F" w:rsidP="008D38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202.ILLUSTRATION A  </w:t>
      </w:r>
      <w:r w:rsidR="00036947">
        <w:rPr>
          <w:b/>
          <w:bCs/>
        </w:rPr>
        <w:t xml:space="preserve"> </w:t>
      </w:r>
      <w:r>
        <w:rPr>
          <w:b/>
          <w:bCs/>
        </w:rPr>
        <w:t>Unearned Premium Factor to be Applied to Premiums In Force on Valuation Date</w:t>
      </w:r>
      <w:r>
        <w:t xml:space="preserve"> </w:t>
      </w:r>
    </w:p>
    <w:p w:rsidR="008D384F" w:rsidRDefault="008D384F" w:rsidP="008D384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32"/>
        <w:gridCol w:w="1482"/>
        <w:gridCol w:w="1482"/>
        <w:gridCol w:w="1482"/>
        <w:gridCol w:w="1482"/>
        <w:gridCol w:w="1482"/>
      </w:tblGrid>
      <w:tr w:rsidR="00036947" w:rsidRPr="00036947" w:rsidTr="0064266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Contract Year</w:t>
            </w:r>
            <w:r>
              <w:t xml:space="preserve"> </w:t>
            </w:r>
            <w:r w:rsidRPr="00036947">
              <w:t>Current at</w:t>
            </w:r>
            <w:r>
              <w:t xml:space="preserve"> </w:t>
            </w:r>
            <w:r w:rsidRPr="00036947">
              <w:t>Valuation Date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6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93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88.8%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93.9%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95.7%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96.5%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  <w:vAlign w:val="bottom"/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97.0%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38.7%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66.7%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76.4%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81.0%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83.7%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22.9%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45.3%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56.0%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62.2%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4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14.5%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31.3%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41.1%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5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9.8%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22.7%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6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7.1%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7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8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9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10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14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15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36947" w:rsidRDefault="00036947" w:rsidP="008D384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88"/>
        <w:gridCol w:w="1495"/>
        <w:gridCol w:w="6"/>
        <w:gridCol w:w="1488"/>
        <w:gridCol w:w="1494"/>
        <w:gridCol w:w="1494"/>
        <w:gridCol w:w="1495"/>
      </w:tblGrid>
      <w:tr w:rsidR="00036947" w:rsidRPr="00036947" w:rsidTr="0064266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Contract Year</w:t>
            </w:r>
            <w:r>
              <w:t xml:space="preserve"> </w:t>
            </w:r>
            <w:r w:rsidRPr="00036947">
              <w:t>Current at</w:t>
            </w:r>
            <w:r>
              <w:t xml:space="preserve"> </w:t>
            </w:r>
            <w:r w:rsidRPr="00036947">
              <w:t>Valuation Date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036947">
              <w:t xml:space="preserve">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522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036947">
              <w:t xml:space="preserve">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Pr="00036947">
              <w:t xml:space="preserve">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 xml:space="preserve">10 </w:t>
            </w:r>
            <w:r w:rsidRPr="00036947">
              <w:t>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 xml:space="preserve">11 </w:t>
            </w:r>
            <w:r w:rsidRPr="00036947">
              <w:t>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97.3%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97.5%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97.7%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97.7%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97.8%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2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85.4%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86.5%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87.3%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87.6%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87.9%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3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66.2%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68.8%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70.4%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71.3%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71.9%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4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47.4%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51.3%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53.8%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55.3%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56.1%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5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31.0%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36.2%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39.4%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41.3%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42.5%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6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17.1%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23.3%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27.2%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29.5%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30.9%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7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5.4%</w:t>
            </w: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12.5%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16.9%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19.6%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21.2%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8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3.8%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8.6%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11.6%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13.3%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9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2.5%</w:t>
            </w: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5.6%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7.5%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10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1.6%</w:t>
            </w: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3.4%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11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0.9%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12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13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14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70"/>
            </w:pPr>
            <w:r w:rsidRPr="00036947">
              <w:t>15</w:t>
            </w:r>
          </w:p>
        </w:tc>
        <w:tc>
          <w:tcPr>
            <w:tcW w:w="1528" w:type="dxa"/>
            <w:gridSpan w:val="2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6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36947" w:rsidRDefault="00036947" w:rsidP="008D384F">
      <w:pPr>
        <w:widowControl w:val="0"/>
        <w:autoSpaceDE w:val="0"/>
        <w:autoSpaceDN w:val="0"/>
        <w:adjustRightInd w:val="0"/>
      </w:pPr>
    </w:p>
    <w:p w:rsidR="00036947" w:rsidRDefault="00036947" w:rsidP="008D384F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32"/>
        <w:gridCol w:w="1482"/>
        <w:gridCol w:w="1482"/>
        <w:gridCol w:w="1482"/>
        <w:gridCol w:w="1482"/>
      </w:tblGrid>
      <w:tr w:rsidR="00036947" w:rsidRPr="00036947" w:rsidTr="0064266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Contract Year</w:t>
            </w:r>
            <w:r>
              <w:t xml:space="preserve"> </w:t>
            </w:r>
            <w:r w:rsidRPr="00036947">
              <w:t>Current at</w:t>
            </w:r>
            <w:r>
              <w:t xml:space="preserve"> </w:t>
            </w:r>
            <w:r w:rsidRPr="00036947">
              <w:t>Valuation Date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36947">
              <w:t>2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36947">
              <w:t>3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36947">
              <w:t>4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36947">
              <w:t>5 Year</w:t>
            </w:r>
            <w:r>
              <w:t xml:space="preserve"> </w:t>
            </w:r>
            <w:r w:rsidRPr="00036947">
              <w:t>Coverage</w:t>
            </w:r>
            <w:r>
              <w:t xml:space="preserve"> </w:t>
            </w:r>
            <w:r w:rsidRPr="00036947">
              <w:t>Period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97.8%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88.1%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88.1%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88.2%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88.2%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72.3%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72.5%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72.6%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72.6%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4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56.7%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57.1%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57.2%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57.3%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5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43.2%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43.7%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43.9%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44.0%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6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31.8%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32.3%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32.7%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32.8%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7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22.1%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22.8%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23.2%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23.3%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8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14.4%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15.1%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15.5%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15.7%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9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8.6%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9.3%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9.9%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>10.1%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10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4.6%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5.4%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6.0%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6.2%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11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2.1%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2.9%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3.5%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3.7%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12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0.6%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1.3%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1.9%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2.1%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13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0.4%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0.9%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0.5%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14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0.3%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  <w:r w:rsidRPr="00036947">
              <w:t xml:space="preserve"> 0.1%</w:t>
            </w:r>
          </w:p>
        </w:tc>
      </w:tr>
      <w:tr w:rsidR="00036947" w:rsidRPr="00036947" w:rsidTr="0064266E">
        <w:tblPrEx>
          <w:tblCellMar>
            <w:top w:w="0" w:type="dxa"/>
            <w:bottom w:w="0" w:type="dxa"/>
          </w:tblCellMar>
        </w:tblPrEx>
        <w:tc>
          <w:tcPr>
            <w:tcW w:w="193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  <w:ind w:left="585"/>
            </w:pPr>
            <w:r w:rsidRPr="00036947">
              <w:t>15</w:t>
            </w: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Mar>
              <w:left w:w="0" w:type="dxa"/>
              <w:right w:w="0" w:type="dxa"/>
            </w:tcMar>
          </w:tcPr>
          <w:p w:rsidR="00036947" w:rsidRPr="00036947" w:rsidRDefault="00036947" w:rsidP="0064266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D384F" w:rsidRDefault="008D384F" w:rsidP="008D384F">
      <w:pPr>
        <w:widowControl w:val="0"/>
        <w:autoSpaceDE w:val="0"/>
        <w:autoSpaceDN w:val="0"/>
        <w:adjustRightInd w:val="0"/>
      </w:pPr>
    </w:p>
    <w:sectPr w:rsidR="008D384F" w:rsidSect="008D3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84F"/>
    <w:rsid w:val="00036947"/>
    <w:rsid w:val="001E3D98"/>
    <w:rsid w:val="002B78F6"/>
    <w:rsid w:val="004602E2"/>
    <w:rsid w:val="005C3366"/>
    <w:rsid w:val="0064266E"/>
    <w:rsid w:val="006B7F8E"/>
    <w:rsid w:val="007953C0"/>
    <w:rsid w:val="00840D69"/>
    <w:rsid w:val="008D384F"/>
    <w:rsid w:val="00BE0FFA"/>
    <w:rsid w:val="00EE2191"/>
    <w:rsid w:val="00F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6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3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cp:lastPrinted>2002-10-31T21:43:00Z</cp:lastPrinted>
  <dcterms:created xsi:type="dcterms:W3CDTF">2012-06-21T18:09:00Z</dcterms:created>
  <dcterms:modified xsi:type="dcterms:W3CDTF">2012-06-21T18:09:00Z</dcterms:modified>
</cp:coreProperties>
</file>